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18" w:rsidRPr="00404080" w:rsidRDefault="005A0218" w:rsidP="00392FC4">
      <w:pPr>
        <w:pStyle w:val="Heading1"/>
        <w:spacing w:line="360" w:lineRule="auto"/>
        <w:jc w:val="both"/>
        <w:rPr>
          <w:sz w:val="36"/>
          <w:szCs w:val="24"/>
        </w:rPr>
      </w:pPr>
      <w:r w:rsidRPr="00404080">
        <w:rPr>
          <w:sz w:val="36"/>
          <w:szCs w:val="24"/>
        </w:rPr>
        <w:t xml:space="preserve">Title of the </w:t>
      </w:r>
      <w:r w:rsidR="00A8106E">
        <w:rPr>
          <w:sz w:val="36"/>
          <w:szCs w:val="24"/>
        </w:rPr>
        <w:t>Article</w:t>
      </w:r>
    </w:p>
    <w:p w:rsidR="00D90A86" w:rsidRPr="00404080" w:rsidRDefault="00D90A86" w:rsidP="00392FC4">
      <w:pPr>
        <w:spacing w:line="360" w:lineRule="auto"/>
        <w:rPr>
          <w:sz w:val="24"/>
          <w:szCs w:val="24"/>
        </w:rPr>
      </w:pPr>
    </w:p>
    <w:p w:rsidR="00E00E36" w:rsidRPr="00404080" w:rsidRDefault="005A0218" w:rsidP="00392FC4">
      <w:pPr>
        <w:pStyle w:val="Heading2"/>
        <w:spacing w:before="0" w:line="360" w:lineRule="auto"/>
        <w:jc w:val="both"/>
        <w:rPr>
          <w:sz w:val="24"/>
          <w:szCs w:val="24"/>
        </w:rPr>
      </w:pPr>
      <w:r w:rsidRPr="00404080">
        <w:rPr>
          <w:sz w:val="24"/>
          <w:szCs w:val="24"/>
        </w:rPr>
        <w:t>First Author</w:t>
      </w:r>
      <w:r w:rsidR="00632429" w:rsidRPr="00404080">
        <w:rPr>
          <w:b w:val="0"/>
          <w:sz w:val="24"/>
          <w:szCs w:val="24"/>
        </w:rPr>
        <w:t>, title</w:t>
      </w:r>
    </w:p>
    <w:p w:rsidR="00E00E36" w:rsidRPr="00404080" w:rsidRDefault="00632429" w:rsidP="00392FC4">
      <w:pPr>
        <w:pStyle w:val="Heading2"/>
        <w:spacing w:before="0" w:line="360" w:lineRule="auto"/>
        <w:jc w:val="both"/>
        <w:rPr>
          <w:b w:val="0"/>
          <w:sz w:val="24"/>
          <w:szCs w:val="24"/>
        </w:rPr>
      </w:pPr>
      <w:r w:rsidRPr="00404080">
        <w:rPr>
          <w:b w:val="0"/>
          <w:sz w:val="24"/>
          <w:szCs w:val="24"/>
        </w:rPr>
        <w:t>Affiliation, postal address</w:t>
      </w:r>
    </w:p>
    <w:p w:rsidR="005A0218" w:rsidRPr="00404080" w:rsidRDefault="00632429" w:rsidP="00392FC4">
      <w:pPr>
        <w:pStyle w:val="Heading2"/>
        <w:spacing w:before="0" w:line="360" w:lineRule="auto"/>
        <w:jc w:val="both"/>
        <w:rPr>
          <w:b w:val="0"/>
          <w:sz w:val="24"/>
          <w:szCs w:val="24"/>
        </w:rPr>
      </w:pPr>
      <w:r w:rsidRPr="00404080">
        <w:rPr>
          <w:b w:val="0"/>
          <w:sz w:val="24"/>
          <w:szCs w:val="24"/>
        </w:rPr>
        <w:t xml:space="preserve">e-mail: </w:t>
      </w:r>
      <w:hyperlink r:id="rId8" w:history="1">
        <w:r w:rsidRPr="00404080">
          <w:rPr>
            <w:rStyle w:val="Hyperlink"/>
            <w:b w:val="0"/>
            <w:color w:val="auto"/>
            <w:sz w:val="24"/>
            <w:szCs w:val="24"/>
            <w:u w:val="none"/>
          </w:rPr>
          <w:t>first.author@email</w:t>
        </w:r>
      </w:hyperlink>
    </w:p>
    <w:p w:rsidR="00632429" w:rsidRPr="00404080" w:rsidRDefault="0047615F" w:rsidP="00632429">
      <w:hyperlink r:id="rId9" w:history="1">
        <w:proofErr w:type="spellStart"/>
        <w:r w:rsidR="00632429" w:rsidRPr="00404080">
          <w:rPr>
            <w:rStyle w:val="Hyperlink"/>
          </w:rPr>
          <w:t>ORC</w:t>
        </w:r>
        <w:r w:rsidR="00DD4CA1" w:rsidRPr="00404080">
          <w:rPr>
            <w:rStyle w:val="Hyperlink"/>
          </w:rPr>
          <w:t>i</w:t>
        </w:r>
        <w:r w:rsidR="00632429" w:rsidRPr="00404080">
          <w:rPr>
            <w:rStyle w:val="Hyperlink"/>
          </w:rPr>
          <w:t>D</w:t>
        </w:r>
        <w:proofErr w:type="spellEnd"/>
      </w:hyperlink>
      <w:r w:rsidR="00632429" w:rsidRPr="00404080">
        <w:t xml:space="preserve">: </w:t>
      </w:r>
    </w:p>
    <w:p w:rsidR="00632429" w:rsidRPr="00404080" w:rsidRDefault="00632429" w:rsidP="00632429"/>
    <w:p w:rsidR="00E00E36" w:rsidRPr="00404080" w:rsidRDefault="005A0218" w:rsidP="00392FC4">
      <w:pPr>
        <w:pStyle w:val="Heading2"/>
        <w:spacing w:before="0" w:line="360" w:lineRule="auto"/>
        <w:jc w:val="both"/>
        <w:rPr>
          <w:sz w:val="24"/>
          <w:szCs w:val="24"/>
        </w:rPr>
      </w:pPr>
      <w:r w:rsidRPr="00404080">
        <w:rPr>
          <w:sz w:val="24"/>
          <w:szCs w:val="24"/>
        </w:rPr>
        <w:t>Second Author</w:t>
      </w:r>
      <w:r w:rsidR="004F6452" w:rsidRPr="00404080">
        <w:rPr>
          <w:b w:val="0"/>
          <w:sz w:val="24"/>
          <w:szCs w:val="24"/>
        </w:rPr>
        <w:t>, title</w:t>
      </w:r>
    </w:p>
    <w:p w:rsidR="00632429" w:rsidRPr="00404080" w:rsidRDefault="00632429" w:rsidP="00632429">
      <w:pPr>
        <w:pStyle w:val="Heading2"/>
        <w:spacing w:before="0" w:line="360" w:lineRule="auto"/>
        <w:jc w:val="both"/>
        <w:rPr>
          <w:b w:val="0"/>
          <w:sz w:val="24"/>
          <w:szCs w:val="24"/>
        </w:rPr>
      </w:pPr>
      <w:r w:rsidRPr="00404080">
        <w:rPr>
          <w:b w:val="0"/>
          <w:sz w:val="24"/>
          <w:szCs w:val="24"/>
        </w:rPr>
        <w:t xml:space="preserve">Affiliation, </w:t>
      </w:r>
      <w:r w:rsidR="00B462CB" w:rsidRPr="00404080">
        <w:rPr>
          <w:b w:val="0"/>
          <w:sz w:val="24"/>
          <w:szCs w:val="24"/>
        </w:rPr>
        <w:t>postal address</w:t>
      </w:r>
    </w:p>
    <w:p w:rsidR="005A0218" w:rsidRPr="00404080" w:rsidRDefault="00666142" w:rsidP="00392FC4">
      <w:pPr>
        <w:pStyle w:val="Heading2"/>
        <w:spacing w:before="0" w:line="360" w:lineRule="auto"/>
        <w:jc w:val="both"/>
        <w:rPr>
          <w:b w:val="0"/>
          <w:sz w:val="24"/>
          <w:szCs w:val="24"/>
        </w:rPr>
      </w:pPr>
      <w:r w:rsidRPr="00404080">
        <w:rPr>
          <w:b w:val="0"/>
          <w:sz w:val="24"/>
          <w:szCs w:val="24"/>
        </w:rPr>
        <w:t xml:space="preserve">e-mail: </w:t>
      </w:r>
      <w:hyperlink r:id="rId10" w:history="1">
        <w:r w:rsidRPr="00404080">
          <w:rPr>
            <w:rStyle w:val="Hyperlink"/>
            <w:b w:val="0"/>
            <w:color w:val="auto"/>
            <w:sz w:val="24"/>
            <w:szCs w:val="24"/>
            <w:u w:val="none"/>
          </w:rPr>
          <w:t>second.author@email</w:t>
        </w:r>
      </w:hyperlink>
    </w:p>
    <w:p w:rsidR="00666142" w:rsidRPr="00404080" w:rsidRDefault="0047615F" w:rsidP="00666142">
      <w:hyperlink r:id="rId11" w:history="1">
        <w:proofErr w:type="spellStart"/>
        <w:r w:rsidR="00666142" w:rsidRPr="00404080">
          <w:rPr>
            <w:rStyle w:val="Hyperlink"/>
          </w:rPr>
          <w:t>ORC</w:t>
        </w:r>
        <w:r w:rsidR="00DD4CA1" w:rsidRPr="00404080">
          <w:rPr>
            <w:rStyle w:val="Hyperlink"/>
          </w:rPr>
          <w:t>i</w:t>
        </w:r>
        <w:r w:rsidR="00666142" w:rsidRPr="00404080">
          <w:rPr>
            <w:rStyle w:val="Hyperlink"/>
          </w:rPr>
          <w:t>D</w:t>
        </w:r>
        <w:proofErr w:type="spellEnd"/>
      </w:hyperlink>
      <w:r w:rsidR="00666142" w:rsidRPr="00404080">
        <w:t xml:space="preserve">: </w:t>
      </w:r>
    </w:p>
    <w:p w:rsidR="00666142" w:rsidRPr="00404080" w:rsidRDefault="00666142" w:rsidP="00666142"/>
    <w:p w:rsidR="00E00E36" w:rsidRPr="00404080" w:rsidRDefault="005A0218" w:rsidP="00392FC4">
      <w:pPr>
        <w:pStyle w:val="Heading2"/>
        <w:spacing w:before="0" w:line="360" w:lineRule="auto"/>
        <w:jc w:val="both"/>
        <w:rPr>
          <w:sz w:val="24"/>
          <w:szCs w:val="24"/>
        </w:rPr>
      </w:pPr>
      <w:r w:rsidRPr="00404080">
        <w:rPr>
          <w:sz w:val="24"/>
          <w:szCs w:val="24"/>
        </w:rPr>
        <w:t>Third Author</w:t>
      </w:r>
      <w:r w:rsidR="004F6452" w:rsidRPr="00404080">
        <w:rPr>
          <w:b w:val="0"/>
          <w:sz w:val="24"/>
          <w:szCs w:val="24"/>
        </w:rPr>
        <w:t>, title</w:t>
      </w:r>
    </w:p>
    <w:p w:rsidR="00632429" w:rsidRPr="00404080" w:rsidRDefault="00B462CB" w:rsidP="00632429">
      <w:pPr>
        <w:pStyle w:val="Heading2"/>
        <w:spacing w:before="0" w:line="360" w:lineRule="auto"/>
        <w:jc w:val="both"/>
        <w:rPr>
          <w:b w:val="0"/>
          <w:sz w:val="24"/>
          <w:szCs w:val="24"/>
        </w:rPr>
      </w:pPr>
      <w:r w:rsidRPr="00404080">
        <w:rPr>
          <w:b w:val="0"/>
          <w:sz w:val="24"/>
          <w:szCs w:val="24"/>
        </w:rPr>
        <w:t>Affiliation, postal address</w:t>
      </w:r>
    </w:p>
    <w:p w:rsidR="005A0218" w:rsidRPr="00404080" w:rsidRDefault="00666142" w:rsidP="00392FC4">
      <w:pPr>
        <w:pStyle w:val="Heading2"/>
        <w:spacing w:before="0" w:line="360" w:lineRule="auto"/>
        <w:jc w:val="both"/>
        <w:rPr>
          <w:b w:val="0"/>
          <w:sz w:val="24"/>
          <w:szCs w:val="24"/>
        </w:rPr>
      </w:pPr>
      <w:r w:rsidRPr="00404080">
        <w:rPr>
          <w:b w:val="0"/>
          <w:sz w:val="24"/>
          <w:szCs w:val="24"/>
        </w:rPr>
        <w:t xml:space="preserve">e-mail: </w:t>
      </w:r>
      <w:hyperlink r:id="rId12" w:history="1">
        <w:r w:rsidRPr="00404080">
          <w:rPr>
            <w:rStyle w:val="Hyperlink"/>
            <w:b w:val="0"/>
            <w:color w:val="auto"/>
            <w:sz w:val="24"/>
            <w:szCs w:val="24"/>
            <w:u w:val="none"/>
          </w:rPr>
          <w:t>third.author@email</w:t>
        </w:r>
      </w:hyperlink>
    </w:p>
    <w:p w:rsidR="00666142" w:rsidRPr="00FF4C60" w:rsidRDefault="0047615F" w:rsidP="00666142">
      <w:pPr>
        <w:rPr>
          <w:sz w:val="24"/>
        </w:rPr>
      </w:pPr>
      <w:hyperlink r:id="rId13" w:history="1">
        <w:proofErr w:type="spellStart"/>
        <w:r w:rsidR="00666142" w:rsidRPr="00FF4C60">
          <w:rPr>
            <w:rStyle w:val="Hyperlink"/>
            <w:sz w:val="24"/>
          </w:rPr>
          <w:t>ORC</w:t>
        </w:r>
        <w:r w:rsidR="00DD4CA1" w:rsidRPr="00FF4C60">
          <w:rPr>
            <w:rStyle w:val="Hyperlink"/>
            <w:sz w:val="24"/>
          </w:rPr>
          <w:t>i</w:t>
        </w:r>
        <w:r w:rsidR="00666142" w:rsidRPr="00FF4C60">
          <w:rPr>
            <w:rStyle w:val="Hyperlink"/>
            <w:sz w:val="24"/>
          </w:rPr>
          <w:t>D</w:t>
        </w:r>
        <w:proofErr w:type="spellEnd"/>
      </w:hyperlink>
      <w:r w:rsidR="00666142" w:rsidRPr="00FF4C60">
        <w:rPr>
          <w:sz w:val="24"/>
        </w:rPr>
        <w:t xml:space="preserve">: </w:t>
      </w:r>
    </w:p>
    <w:p w:rsidR="004F6452" w:rsidRPr="00404080" w:rsidRDefault="004F6452" w:rsidP="00666142"/>
    <w:p w:rsidR="004F6452" w:rsidRPr="00404080" w:rsidRDefault="004F6452" w:rsidP="00666142">
      <w:pPr>
        <w:rPr>
          <w:sz w:val="24"/>
          <w:szCs w:val="24"/>
        </w:rPr>
      </w:pPr>
    </w:p>
    <w:p w:rsidR="004F6452" w:rsidRPr="00404080" w:rsidRDefault="0047615F" w:rsidP="00666142">
      <w:hyperlink r:id="rId14" w:history="1">
        <w:r w:rsidR="004F6452" w:rsidRPr="00404080">
          <w:rPr>
            <w:rStyle w:val="Hyperlink"/>
            <w:sz w:val="24"/>
            <w:szCs w:val="24"/>
          </w:rPr>
          <w:t>JEL</w:t>
        </w:r>
      </w:hyperlink>
      <w:r w:rsidR="004F6452" w:rsidRPr="00404080">
        <w:rPr>
          <w:sz w:val="24"/>
          <w:szCs w:val="24"/>
        </w:rPr>
        <w:t>:</w:t>
      </w:r>
    </w:p>
    <w:p w:rsidR="00666142" w:rsidRPr="00404080" w:rsidRDefault="00666142" w:rsidP="00666142"/>
    <w:p w:rsidR="005A0218" w:rsidRPr="00404080" w:rsidRDefault="005A0218" w:rsidP="00392FC4">
      <w:pPr>
        <w:spacing w:line="360" w:lineRule="auto"/>
        <w:rPr>
          <w:i/>
          <w:sz w:val="24"/>
          <w:szCs w:val="24"/>
        </w:rPr>
      </w:pPr>
    </w:p>
    <w:p w:rsidR="008C58EE" w:rsidRPr="00FF4C60" w:rsidRDefault="001B5BEC" w:rsidP="00392FC4">
      <w:pPr>
        <w:spacing w:line="360" w:lineRule="auto"/>
        <w:rPr>
          <w:b/>
          <w:color w:val="C00000"/>
          <w:sz w:val="24"/>
          <w:szCs w:val="24"/>
        </w:rPr>
      </w:pPr>
      <w:r w:rsidRPr="00FF4C60">
        <w:rPr>
          <w:b/>
          <w:color w:val="C00000"/>
          <w:sz w:val="24"/>
          <w:szCs w:val="24"/>
        </w:rPr>
        <w:t>Abstract</w:t>
      </w:r>
    </w:p>
    <w:p w:rsidR="00AB72CB" w:rsidRPr="00FF4C60" w:rsidRDefault="00F05CD1" w:rsidP="00392FC4">
      <w:pPr>
        <w:spacing w:line="360" w:lineRule="auto"/>
        <w:rPr>
          <w:sz w:val="24"/>
          <w:szCs w:val="24"/>
        </w:rPr>
      </w:pPr>
      <w:r w:rsidRPr="00FF4C60">
        <w:rPr>
          <w:color w:val="000000"/>
          <w:sz w:val="24"/>
          <w:szCs w:val="24"/>
        </w:rPr>
        <w:t xml:space="preserve">Short abstract - not longer than 150 words. </w:t>
      </w:r>
    </w:p>
    <w:p w:rsidR="002C4AB4" w:rsidRPr="00FF4C60" w:rsidRDefault="002C4AB4" w:rsidP="00392FC4">
      <w:pPr>
        <w:spacing w:line="360" w:lineRule="auto"/>
        <w:rPr>
          <w:sz w:val="24"/>
          <w:szCs w:val="24"/>
        </w:rPr>
      </w:pPr>
      <w:r w:rsidRPr="00FF4C60">
        <w:rPr>
          <w:sz w:val="24"/>
          <w:szCs w:val="24"/>
        </w:rPr>
        <w:t xml:space="preserve">Keywords: </w:t>
      </w:r>
      <w:r w:rsidR="00F05CD1" w:rsidRPr="00FF4C60">
        <w:rPr>
          <w:color w:val="000000"/>
          <w:sz w:val="24"/>
          <w:szCs w:val="24"/>
        </w:rPr>
        <w:t xml:space="preserve">up to six keywords </w:t>
      </w:r>
    </w:p>
    <w:p w:rsidR="00AD7C32" w:rsidRPr="00FF4C60" w:rsidRDefault="00AD7C32" w:rsidP="00AD7C32">
      <w:pPr>
        <w:autoSpaceDE w:val="0"/>
        <w:autoSpaceDN w:val="0"/>
        <w:adjustRightInd w:val="0"/>
        <w:spacing w:line="360" w:lineRule="auto"/>
        <w:jc w:val="left"/>
        <w:rPr>
          <w:b/>
          <w:bCs/>
          <w:sz w:val="24"/>
          <w:szCs w:val="24"/>
          <w:lang w:eastAsia="hr-HR"/>
        </w:rPr>
      </w:pPr>
    </w:p>
    <w:p w:rsidR="00842D69" w:rsidRPr="00FF4C60" w:rsidRDefault="00842D69" w:rsidP="006D490E">
      <w:pPr>
        <w:autoSpaceDE w:val="0"/>
        <w:autoSpaceDN w:val="0"/>
        <w:adjustRightInd w:val="0"/>
        <w:spacing w:line="360" w:lineRule="auto"/>
        <w:jc w:val="left"/>
        <w:rPr>
          <w:b/>
          <w:bCs/>
          <w:sz w:val="24"/>
          <w:szCs w:val="24"/>
          <w:lang w:eastAsia="hr-HR"/>
        </w:rPr>
      </w:pPr>
      <w:r w:rsidRPr="00FF4C60">
        <w:rPr>
          <w:b/>
          <w:bCs/>
          <w:sz w:val="24"/>
          <w:szCs w:val="24"/>
          <w:lang w:eastAsia="hr-HR"/>
        </w:rPr>
        <w:t>Disclosure statement</w:t>
      </w:r>
    </w:p>
    <w:p w:rsidR="00404080" w:rsidRPr="00FF4C60" w:rsidRDefault="006D490E" w:rsidP="006D490E">
      <w:pPr>
        <w:spacing w:line="360" w:lineRule="auto"/>
        <w:rPr>
          <w:sz w:val="24"/>
          <w:szCs w:val="24"/>
        </w:rPr>
      </w:pPr>
      <w:r w:rsidRPr="00FF4C60">
        <w:rPr>
          <w:bCs/>
          <w:sz w:val="24"/>
          <w:szCs w:val="24"/>
        </w:rPr>
        <w:t>All authors should disclose any financial or other substantive conflict of interest that might be construed as influencing the results or interpretation of their manuscript</w:t>
      </w:r>
      <w:r w:rsidR="00FF4C60" w:rsidRPr="00FF4C60">
        <w:rPr>
          <w:bCs/>
          <w:sz w:val="24"/>
          <w:szCs w:val="24"/>
        </w:rPr>
        <w:t xml:space="preserve"> or state that they do not have any conflict of interest.</w:t>
      </w:r>
    </w:p>
    <w:p w:rsidR="002A0699" w:rsidRPr="00FF4C60" w:rsidRDefault="002A0699" w:rsidP="006D490E">
      <w:pPr>
        <w:spacing w:line="360" w:lineRule="auto"/>
        <w:rPr>
          <w:sz w:val="24"/>
          <w:szCs w:val="24"/>
        </w:rPr>
      </w:pPr>
    </w:p>
    <w:p w:rsidR="002A0699" w:rsidRPr="00FF4C60" w:rsidRDefault="002A0699" w:rsidP="006D490E">
      <w:pPr>
        <w:pStyle w:val="Acknowledgements"/>
        <w:rPr>
          <w:b/>
          <w:sz w:val="24"/>
        </w:rPr>
      </w:pPr>
      <w:r w:rsidRPr="00FF4C60">
        <w:rPr>
          <w:b/>
          <w:sz w:val="24"/>
        </w:rPr>
        <w:t>Funding</w:t>
      </w:r>
    </w:p>
    <w:p w:rsidR="002A0699" w:rsidRPr="00FF4C60" w:rsidRDefault="000D6499" w:rsidP="006D490E">
      <w:pPr>
        <w:spacing w:line="360" w:lineRule="auto"/>
        <w:rPr>
          <w:sz w:val="24"/>
          <w:szCs w:val="24"/>
        </w:rPr>
      </w:pPr>
      <w:r w:rsidRPr="00FF4C60">
        <w:rPr>
          <w:bCs/>
          <w:sz w:val="24"/>
          <w:szCs w:val="24"/>
        </w:rPr>
        <w:t>All sources of financial support for the article should be disclosed.</w:t>
      </w:r>
    </w:p>
    <w:p w:rsidR="00404080" w:rsidRPr="00FF4C60" w:rsidRDefault="00404080" w:rsidP="00AD7C32">
      <w:pPr>
        <w:spacing w:line="360" w:lineRule="auto"/>
        <w:rPr>
          <w:sz w:val="24"/>
          <w:szCs w:val="24"/>
          <w:lang w:eastAsia="hr-HR"/>
        </w:rPr>
      </w:pPr>
    </w:p>
    <w:p w:rsidR="00FE445C" w:rsidRPr="00404080" w:rsidRDefault="00FE445C">
      <w:pPr>
        <w:jc w:val="left"/>
        <w:rPr>
          <w:b/>
          <w:caps/>
          <w:color w:val="C00000"/>
          <w:sz w:val="24"/>
          <w:szCs w:val="24"/>
        </w:rPr>
      </w:pPr>
      <w:r w:rsidRPr="00404080">
        <w:rPr>
          <w:b/>
          <w:caps/>
          <w:color w:val="C00000"/>
          <w:sz w:val="24"/>
          <w:szCs w:val="24"/>
        </w:rPr>
        <w:br w:type="page"/>
      </w:r>
    </w:p>
    <w:p w:rsidR="001B5BEC" w:rsidRPr="00404080" w:rsidRDefault="001B5BEC" w:rsidP="00392FC4">
      <w:pPr>
        <w:spacing w:line="360" w:lineRule="auto"/>
        <w:rPr>
          <w:b/>
          <w:caps/>
          <w:color w:val="C00000"/>
          <w:sz w:val="24"/>
          <w:szCs w:val="24"/>
        </w:rPr>
      </w:pPr>
      <w:r w:rsidRPr="00404080">
        <w:rPr>
          <w:b/>
          <w:caps/>
          <w:color w:val="C00000"/>
          <w:sz w:val="24"/>
          <w:szCs w:val="24"/>
        </w:rPr>
        <w:lastRenderedPageBreak/>
        <w:t>1 Section</w:t>
      </w:r>
    </w:p>
    <w:p w:rsidR="001B5BEC" w:rsidRPr="00404080" w:rsidRDefault="001F3C05" w:rsidP="00AF4D41">
      <w:pPr>
        <w:pStyle w:val="ListParagraph"/>
        <w:numPr>
          <w:ilvl w:val="1"/>
          <w:numId w:val="2"/>
        </w:numPr>
        <w:spacing w:line="360" w:lineRule="auto"/>
        <w:rPr>
          <w:b/>
          <w:sz w:val="24"/>
          <w:szCs w:val="24"/>
        </w:rPr>
      </w:pPr>
      <w:r w:rsidRPr="00404080">
        <w:rPr>
          <w:b/>
          <w:sz w:val="24"/>
          <w:szCs w:val="24"/>
        </w:rPr>
        <w:t>TEXT</w:t>
      </w:r>
    </w:p>
    <w:p w:rsidR="00F05CD1" w:rsidRPr="004A015D" w:rsidRDefault="00F05CD1" w:rsidP="00F05CD1">
      <w:pPr>
        <w:spacing w:line="360" w:lineRule="auto"/>
        <w:rPr>
          <w:color w:val="000000"/>
          <w:sz w:val="24"/>
          <w:szCs w:val="24"/>
        </w:rPr>
      </w:pPr>
      <w:r w:rsidRPr="004A015D">
        <w:rPr>
          <w:color w:val="000000"/>
          <w:sz w:val="24"/>
          <w:szCs w:val="24"/>
        </w:rPr>
        <w:t xml:space="preserve">We prefer to receive manuscripts in Microsoft Word .docx or .doc format, written in Times New Roman, font size 12, line spacing 1.5. </w:t>
      </w:r>
    </w:p>
    <w:p w:rsidR="00F05CD1" w:rsidRPr="004A015D" w:rsidRDefault="00F05CD1" w:rsidP="00F05CD1">
      <w:pPr>
        <w:spacing w:line="360" w:lineRule="auto"/>
        <w:rPr>
          <w:b/>
          <w:sz w:val="24"/>
          <w:szCs w:val="24"/>
        </w:rPr>
      </w:pPr>
      <w:r w:rsidRPr="004A015D">
        <w:rPr>
          <w:color w:val="000000"/>
          <w:sz w:val="24"/>
          <w:szCs w:val="24"/>
        </w:rPr>
        <w:t>Normally, articles (including footnotes and references) should be no longer than 12,000 words.</w:t>
      </w:r>
    </w:p>
    <w:p w:rsidR="00AF4D41" w:rsidRPr="00404080" w:rsidRDefault="00AF4D41" w:rsidP="00DC6DED">
      <w:pPr>
        <w:spacing w:before="180" w:line="360" w:lineRule="auto"/>
        <w:rPr>
          <w:sz w:val="24"/>
          <w:szCs w:val="24"/>
        </w:rPr>
      </w:pPr>
      <w:r w:rsidRPr="00404080">
        <w:rPr>
          <w:sz w:val="24"/>
          <w:szCs w:val="24"/>
        </w:rPr>
        <w:t xml:space="preserve">Abbreviations are permissible. When mentioned for the first time, the full term should be used, adding the abbreviation in parentheses; e.g. European Union (EU). </w:t>
      </w:r>
      <w:r w:rsidR="00903DAD" w:rsidRPr="00404080">
        <w:rPr>
          <w:sz w:val="24"/>
          <w:szCs w:val="24"/>
        </w:rPr>
        <w:t>Million can be abbre</w:t>
      </w:r>
      <w:r w:rsidR="004A015D">
        <w:rPr>
          <w:sz w:val="24"/>
          <w:szCs w:val="24"/>
        </w:rPr>
        <w:t xml:space="preserve">viated to </w:t>
      </w:r>
      <w:proofErr w:type="spellStart"/>
      <w:r w:rsidR="004A015D">
        <w:rPr>
          <w:sz w:val="24"/>
          <w:szCs w:val="24"/>
        </w:rPr>
        <w:t>mn</w:t>
      </w:r>
      <w:proofErr w:type="spellEnd"/>
      <w:r w:rsidR="004A015D">
        <w:rPr>
          <w:sz w:val="24"/>
          <w:szCs w:val="24"/>
        </w:rPr>
        <w:t xml:space="preserve"> and billion to bn.</w:t>
      </w:r>
    </w:p>
    <w:p w:rsidR="00AF4D41" w:rsidRPr="00404080" w:rsidRDefault="00AF4D41" w:rsidP="00DC6DED">
      <w:pPr>
        <w:spacing w:before="180" w:line="360" w:lineRule="auto"/>
        <w:rPr>
          <w:sz w:val="24"/>
          <w:szCs w:val="24"/>
        </w:rPr>
      </w:pPr>
      <w:r w:rsidRPr="00404080">
        <w:rPr>
          <w:sz w:val="24"/>
          <w:szCs w:val="24"/>
        </w:rPr>
        <w:t xml:space="preserve">Decimal numbers: in the body of the </w:t>
      </w:r>
      <w:r w:rsidR="00A8106E">
        <w:rPr>
          <w:sz w:val="24"/>
          <w:szCs w:val="24"/>
        </w:rPr>
        <w:t>article</w:t>
      </w:r>
      <w:r w:rsidRPr="00404080">
        <w:rPr>
          <w:sz w:val="24"/>
          <w:szCs w:val="24"/>
        </w:rPr>
        <w:t xml:space="preserve">, tables and graphs there should </w:t>
      </w:r>
      <w:r w:rsidR="00B0387E">
        <w:rPr>
          <w:sz w:val="24"/>
          <w:szCs w:val="24"/>
        </w:rPr>
        <w:t xml:space="preserve">be </w:t>
      </w:r>
      <w:r w:rsidRPr="00404080">
        <w:rPr>
          <w:sz w:val="24"/>
          <w:szCs w:val="24"/>
        </w:rPr>
        <w:t xml:space="preserve">as few decimals as possible. </w:t>
      </w:r>
    </w:p>
    <w:p w:rsidR="00893776" w:rsidRDefault="00A643C6" w:rsidP="00DC6DED">
      <w:pPr>
        <w:spacing w:before="180" w:line="360" w:lineRule="auto"/>
        <w:rPr>
          <w:sz w:val="24"/>
          <w:szCs w:val="24"/>
        </w:rPr>
      </w:pPr>
      <w:r w:rsidRPr="00A643C6">
        <w:rPr>
          <w:sz w:val="24"/>
          <w:szCs w:val="24"/>
        </w:rPr>
        <w:t>Please use British -</w:t>
      </w:r>
      <w:proofErr w:type="spellStart"/>
      <w:r w:rsidRPr="00A643C6">
        <w:rPr>
          <w:sz w:val="24"/>
          <w:szCs w:val="24"/>
        </w:rPr>
        <w:t>ise</w:t>
      </w:r>
      <w:proofErr w:type="spellEnd"/>
      <w:r w:rsidRPr="00A643C6">
        <w:rPr>
          <w:sz w:val="24"/>
          <w:szCs w:val="24"/>
        </w:rPr>
        <w:t xml:space="preserve"> spelling style consistently throughout your manuscript.</w:t>
      </w:r>
    </w:p>
    <w:p w:rsidR="00A643C6" w:rsidRPr="00404080" w:rsidRDefault="00A643C6" w:rsidP="00DC6DED">
      <w:pPr>
        <w:spacing w:before="180" w:line="360" w:lineRule="auto"/>
        <w:rPr>
          <w:sz w:val="24"/>
          <w:szCs w:val="24"/>
        </w:rPr>
      </w:pPr>
    </w:p>
    <w:p w:rsidR="00893776" w:rsidRPr="00404080" w:rsidRDefault="00893776" w:rsidP="00893776">
      <w:pPr>
        <w:spacing w:line="360" w:lineRule="auto"/>
        <w:rPr>
          <w:b/>
          <w:caps/>
          <w:color w:val="C00000"/>
          <w:sz w:val="24"/>
          <w:szCs w:val="24"/>
        </w:rPr>
      </w:pPr>
      <w:r w:rsidRPr="00404080">
        <w:rPr>
          <w:b/>
          <w:caps/>
          <w:color w:val="C00000"/>
          <w:sz w:val="24"/>
          <w:szCs w:val="24"/>
        </w:rPr>
        <w:t>2 Section</w:t>
      </w:r>
    </w:p>
    <w:p w:rsidR="00AF4D41" w:rsidRPr="00404080" w:rsidRDefault="00893776" w:rsidP="00F5349C">
      <w:pPr>
        <w:spacing w:line="360" w:lineRule="auto"/>
        <w:rPr>
          <w:b/>
          <w:sz w:val="24"/>
          <w:szCs w:val="24"/>
        </w:rPr>
      </w:pPr>
      <w:r w:rsidRPr="00404080">
        <w:rPr>
          <w:b/>
          <w:sz w:val="24"/>
          <w:szCs w:val="24"/>
        </w:rPr>
        <w:t xml:space="preserve">2.1 EQUATIONS AND NOTES </w:t>
      </w:r>
    </w:p>
    <w:p w:rsidR="00AF4D41" w:rsidRPr="00404080" w:rsidRDefault="00AF4D41" w:rsidP="00DC6DED">
      <w:pPr>
        <w:spacing w:before="180" w:line="360" w:lineRule="auto"/>
        <w:rPr>
          <w:sz w:val="24"/>
          <w:szCs w:val="24"/>
        </w:rPr>
      </w:pPr>
      <w:r w:rsidRPr="00404080">
        <w:rPr>
          <w:sz w:val="24"/>
          <w:szCs w:val="24"/>
        </w:rPr>
        <w:t xml:space="preserve">Equations, notes, tables and graphs should be numbered </w:t>
      </w:r>
      <w:r w:rsidR="00B0387E">
        <w:rPr>
          <w:sz w:val="24"/>
          <w:szCs w:val="24"/>
        </w:rPr>
        <w:t>in</w:t>
      </w:r>
      <w:r w:rsidRPr="00404080">
        <w:rPr>
          <w:sz w:val="24"/>
          <w:szCs w:val="24"/>
        </w:rPr>
        <w:t xml:space="preserve"> order, in Arabic numerals. </w:t>
      </w:r>
    </w:p>
    <w:p w:rsidR="00AF4D41" w:rsidRPr="00404080" w:rsidRDefault="00AF4D41" w:rsidP="00DC6DED">
      <w:pPr>
        <w:spacing w:before="180" w:line="360" w:lineRule="auto"/>
        <w:rPr>
          <w:sz w:val="24"/>
          <w:szCs w:val="24"/>
        </w:rPr>
      </w:pPr>
      <w:r w:rsidRPr="00404080">
        <w:rPr>
          <w:sz w:val="24"/>
          <w:szCs w:val="24"/>
        </w:rPr>
        <w:t xml:space="preserve">Ordinal numbers of </w:t>
      </w:r>
      <w:r w:rsidRPr="00404080">
        <w:rPr>
          <w:i/>
          <w:sz w:val="24"/>
          <w:szCs w:val="24"/>
        </w:rPr>
        <w:t>equations</w:t>
      </w:r>
      <w:r w:rsidRPr="00404080">
        <w:rPr>
          <w:sz w:val="24"/>
          <w:szCs w:val="24"/>
        </w:rPr>
        <w:t xml:space="preserve"> should be noted in parentheses, by the right margin (see example). </w:t>
      </w:r>
    </w:p>
    <w:p w:rsidR="00AF4D41" w:rsidRPr="00404080" w:rsidRDefault="00AF4D41" w:rsidP="005E75FA">
      <w:pPr>
        <w:spacing w:line="360" w:lineRule="auto"/>
        <w:ind w:firstLine="709"/>
        <w:jc w:val="right"/>
        <w:rPr>
          <w:i/>
          <w:iCs/>
          <w:sz w:val="24"/>
          <w:szCs w:val="24"/>
        </w:rPr>
      </w:pPr>
      <w:proofErr w:type="spellStart"/>
      <w:r w:rsidRPr="00404080">
        <w:rPr>
          <w:sz w:val="24"/>
          <w:szCs w:val="24"/>
        </w:rPr>
        <w:t>x+y</w:t>
      </w:r>
      <w:proofErr w:type="spellEnd"/>
      <w:r w:rsidRPr="00404080">
        <w:rPr>
          <w:sz w:val="24"/>
          <w:szCs w:val="24"/>
        </w:rPr>
        <w:t>=</w:t>
      </w:r>
      <w:proofErr w:type="spellStart"/>
      <w:r w:rsidRPr="00404080">
        <w:rPr>
          <w:sz w:val="24"/>
          <w:szCs w:val="24"/>
        </w:rPr>
        <w:t>y+x</w:t>
      </w:r>
      <w:proofErr w:type="spellEnd"/>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t>(1)</w:t>
      </w:r>
    </w:p>
    <w:p w:rsidR="00AF4D41" w:rsidRPr="00404080" w:rsidRDefault="00AF4D41" w:rsidP="005E75FA">
      <w:pPr>
        <w:spacing w:before="120" w:line="360" w:lineRule="auto"/>
        <w:rPr>
          <w:sz w:val="24"/>
          <w:szCs w:val="24"/>
        </w:rPr>
      </w:pPr>
      <w:r w:rsidRPr="00404080">
        <w:rPr>
          <w:i/>
          <w:iCs/>
          <w:sz w:val="24"/>
          <w:szCs w:val="24"/>
        </w:rPr>
        <w:t>Endnotes</w:t>
      </w:r>
      <w:r w:rsidRPr="00404080">
        <w:rPr>
          <w:iCs/>
          <w:sz w:val="24"/>
          <w:szCs w:val="24"/>
        </w:rPr>
        <w:t xml:space="preserve"> are not permitted, and </w:t>
      </w:r>
      <w:r w:rsidRPr="00404080">
        <w:rPr>
          <w:i/>
          <w:iCs/>
          <w:sz w:val="24"/>
          <w:szCs w:val="24"/>
        </w:rPr>
        <w:t>footnotes</w:t>
      </w:r>
      <w:r w:rsidRPr="00404080">
        <w:rPr>
          <w:iCs/>
          <w:sz w:val="24"/>
          <w:szCs w:val="24"/>
        </w:rPr>
        <w:t xml:space="preserve"> should be avoided </w:t>
      </w:r>
      <w:r w:rsidR="00C23016" w:rsidRPr="00404080">
        <w:rPr>
          <w:iCs/>
          <w:sz w:val="24"/>
          <w:szCs w:val="24"/>
        </w:rPr>
        <w:t xml:space="preserve">whenever </w:t>
      </w:r>
      <w:r w:rsidRPr="00404080">
        <w:rPr>
          <w:iCs/>
          <w:sz w:val="24"/>
          <w:szCs w:val="24"/>
        </w:rPr>
        <w:t xml:space="preserve">possible. If the facts are important, they should be mentioned in the text of the </w:t>
      </w:r>
      <w:r w:rsidR="00A8106E">
        <w:rPr>
          <w:iCs/>
          <w:sz w:val="24"/>
          <w:szCs w:val="24"/>
        </w:rPr>
        <w:t>article</w:t>
      </w:r>
      <w:r w:rsidRPr="00404080">
        <w:rPr>
          <w:iCs/>
          <w:sz w:val="24"/>
          <w:szCs w:val="24"/>
        </w:rPr>
        <w:t xml:space="preserve">. </w:t>
      </w:r>
    </w:p>
    <w:p w:rsidR="000126DC" w:rsidRPr="00404080" w:rsidRDefault="000126DC" w:rsidP="00DC6DED">
      <w:pPr>
        <w:spacing w:line="360" w:lineRule="auto"/>
        <w:rPr>
          <w:sz w:val="24"/>
          <w:szCs w:val="24"/>
        </w:rPr>
      </w:pPr>
    </w:p>
    <w:p w:rsidR="00E52981" w:rsidRPr="00404080" w:rsidRDefault="00F5349C" w:rsidP="00DC6DED">
      <w:pPr>
        <w:spacing w:line="360" w:lineRule="auto"/>
        <w:rPr>
          <w:sz w:val="24"/>
          <w:szCs w:val="24"/>
        </w:rPr>
      </w:pPr>
      <w:r w:rsidRPr="00404080">
        <w:rPr>
          <w:b/>
          <w:sz w:val="24"/>
          <w:szCs w:val="24"/>
        </w:rPr>
        <w:t xml:space="preserve">2.2 </w:t>
      </w:r>
      <w:r w:rsidR="00893776" w:rsidRPr="00404080">
        <w:rPr>
          <w:b/>
          <w:sz w:val="24"/>
          <w:szCs w:val="24"/>
        </w:rPr>
        <w:t>TABLES AND GRAPHS</w:t>
      </w:r>
    </w:p>
    <w:p w:rsidR="00D62836" w:rsidRPr="00404080" w:rsidRDefault="00D62836" w:rsidP="00DC6DED">
      <w:pPr>
        <w:spacing w:before="180" w:line="360" w:lineRule="auto"/>
        <w:rPr>
          <w:sz w:val="24"/>
          <w:szCs w:val="24"/>
        </w:rPr>
      </w:pPr>
      <w:r w:rsidRPr="00404080">
        <w:rPr>
          <w:sz w:val="24"/>
          <w:szCs w:val="24"/>
        </w:rPr>
        <w:t xml:space="preserve">Tables and graphs are a part of the </w:t>
      </w:r>
      <w:r w:rsidR="00A8106E">
        <w:rPr>
          <w:sz w:val="24"/>
          <w:szCs w:val="24"/>
        </w:rPr>
        <w:t>article</w:t>
      </w:r>
      <w:r w:rsidRPr="00404080">
        <w:rPr>
          <w:sz w:val="24"/>
          <w:szCs w:val="24"/>
        </w:rPr>
        <w:t xml:space="preserve">, and not a separate document. If they are placed at the end of the </w:t>
      </w:r>
      <w:r w:rsidR="00A8106E">
        <w:rPr>
          <w:sz w:val="24"/>
          <w:szCs w:val="24"/>
        </w:rPr>
        <w:t>article</w:t>
      </w:r>
      <w:r w:rsidRPr="00404080">
        <w:rPr>
          <w:sz w:val="24"/>
          <w:szCs w:val="24"/>
        </w:rPr>
        <w:t xml:space="preserve">, </w:t>
      </w:r>
      <w:r w:rsidR="00C23016" w:rsidRPr="00404080">
        <w:rPr>
          <w:sz w:val="24"/>
          <w:szCs w:val="24"/>
        </w:rPr>
        <w:t>this should be done</w:t>
      </w:r>
      <w:r w:rsidRPr="00404080">
        <w:rPr>
          <w:sz w:val="24"/>
          <w:szCs w:val="24"/>
        </w:rPr>
        <w:t xml:space="preserve"> before the list of references </w:t>
      </w:r>
      <w:r w:rsidR="00C23016" w:rsidRPr="00404080">
        <w:rPr>
          <w:sz w:val="24"/>
          <w:szCs w:val="24"/>
        </w:rPr>
        <w:t xml:space="preserve">while their exact position should be indicated </w:t>
      </w:r>
      <w:r w:rsidRPr="00404080">
        <w:rPr>
          <w:sz w:val="24"/>
          <w:szCs w:val="24"/>
        </w:rPr>
        <w:t xml:space="preserve">in the text of the </w:t>
      </w:r>
      <w:r w:rsidR="00A8106E">
        <w:rPr>
          <w:sz w:val="24"/>
          <w:szCs w:val="24"/>
        </w:rPr>
        <w:t>article</w:t>
      </w:r>
      <w:r w:rsidRPr="00404080">
        <w:rPr>
          <w:sz w:val="24"/>
          <w:szCs w:val="24"/>
        </w:rPr>
        <w:t xml:space="preserve">. When </w:t>
      </w:r>
      <w:r w:rsidR="00B0387E">
        <w:rPr>
          <w:sz w:val="24"/>
          <w:szCs w:val="24"/>
        </w:rPr>
        <w:t>an explanation of</w:t>
      </w:r>
      <w:r w:rsidR="00B0387E" w:rsidRPr="00404080">
        <w:rPr>
          <w:sz w:val="24"/>
          <w:szCs w:val="24"/>
        </w:rPr>
        <w:t xml:space="preserve"> </w:t>
      </w:r>
      <w:r w:rsidRPr="00404080">
        <w:rPr>
          <w:sz w:val="24"/>
          <w:szCs w:val="24"/>
        </w:rPr>
        <w:t xml:space="preserve">a certain table and/or graph from the </w:t>
      </w:r>
      <w:r w:rsidR="00A8106E">
        <w:rPr>
          <w:sz w:val="24"/>
          <w:szCs w:val="24"/>
        </w:rPr>
        <w:t>article</w:t>
      </w:r>
      <w:r w:rsidR="00B0387E">
        <w:rPr>
          <w:sz w:val="24"/>
          <w:szCs w:val="24"/>
        </w:rPr>
        <w:t xml:space="preserve"> is given</w:t>
      </w:r>
      <w:r w:rsidRPr="00404080">
        <w:rPr>
          <w:sz w:val="24"/>
          <w:szCs w:val="24"/>
        </w:rPr>
        <w:t xml:space="preserve">, the number of the table and/or graph must be indicated, e.g. In table 1 it is notable that... (avoid using "above", "below", etc.). </w:t>
      </w:r>
    </w:p>
    <w:p w:rsidR="00D62836" w:rsidRPr="00404080" w:rsidRDefault="00D62836" w:rsidP="00DC6DED">
      <w:pPr>
        <w:spacing w:before="180" w:line="360" w:lineRule="auto"/>
        <w:rPr>
          <w:sz w:val="24"/>
          <w:szCs w:val="24"/>
        </w:rPr>
      </w:pPr>
      <w:r w:rsidRPr="00404080">
        <w:rPr>
          <w:i/>
          <w:iCs/>
          <w:sz w:val="24"/>
          <w:szCs w:val="24"/>
        </w:rPr>
        <w:t>Tables</w:t>
      </w:r>
      <w:r w:rsidRPr="00404080">
        <w:rPr>
          <w:sz w:val="24"/>
          <w:szCs w:val="24"/>
        </w:rPr>
        <w:t xml:space="preserve"> should be as simple as possible; their titles must be given (above the table) as well as their source (below the table). Notes (footnotes) in tables are marked by letters in italics (</w:t>
      </w:r>
      <w:r w:rsidRPr="00404080">
        <w:rPr>
          <w:i/>
          <w:sz w:val="24"/>
          <w:szCs w:val="24"/>
        </w:rPr>
        <w:t>a</w:t>
      </w:r>
      <w:r w:rsidRPr="00404080">
        <w:rPr>
          <w:sz w:val="24"/>
          <w:szCs w:val="24"/>
        </w:rPr>
        <w:t xml:space="preserve">, </w:t>
      </w:r>
      <w:r w:rsidRPr="00404080">
        <w:rPr>
          <w:i/>
          <w:sz w:val="24"/>
          <w:szCs w:val="24"/>
        </w:rPr>
        <w:t>b</w:t>
      </w:r>
      <w:r w:rsidRPr="00404080">
        <w:rPr>
          <w:sz w:val="24"/>
          <w:szCs w:val="24"/>
        </w:rPr>
        <w:t xml:space="preserve">, </w:t>
      </w:r>
      <w:r w:rsidRPr="00404080">
        <w:rPr>
          <w:i/>
          <w:sz w:val="24"/>
          <w:szCs w:val="24"/>
        </w:rPr>
        <w:t>c</w:t>
      </w:r>
      <w:r w:rsidRPr="00404080">
        <w:rPr>
          <w:sz w:val="24"/>
          <w:szCs w:val="24"/>
        </w:rPr>
        <w:t xml:space="preserve">...) and are placed below the table. Tables must be formatted as text, not as pictures. </w:t>
      </w:r>
    </w:p>
    <w:p w:rsidR="00D62836" w:rsidRDefault="00D62836" w:rsidP="00DC6DED">
      <w:pPr>
        <w:spacing w:before="180" w:line="360" w:lineRule="auto"/>
        <w:rPr>
          <w:sz w:val="24"/>
          <w:szCs w:val="24"/>
        </w:rPr>
      </w:pPr>
      <w:r w:rsidRPr="00404080">
        <w:rPr>
          <w:sz w:val="24"/>
          <w:szCs w:val="24"/>
        </w:rPr>
        <w:lastRenderedPageBreak/>
        <w:t>Numbers are aligned right; thousands are separated by point and/or comma (e.g. Croatian 1.000.000,00; English 1,000,000.00). Numbers should be shortened wherever possible (e.g. million (</w:t>
      </w:r>
      <w:proofErr w:type="spellStart"/>
      <w:r w:rsidRPr="00404080">
        <w:rPr>
          <w:sz w:val="24"/>
          <w:szCs w:val="24"/>
        </w:rPr>
        <w:t>mn</w:t>
      </w:r>
      <w:proofErr w:type="spellEnd"/>
      <w:r w:rsidRPr="00404080">
        <w:rPr>
          <w:sz w:val="24"/>
          <w:szCs w:val="24"/>
        </w:rPr>
        <w:t xml:space="preserve">) or billion (bn); see example in table 1). </w:t>
      </w:r>
    </w:p>
    <w:p w:rsidR="00A643C6" w:rsidRPr="00404080" w:rsidRDefault="00A643C6" w:rsidP="00DC6DED">
      <w:pPr>
        <w:spacing w:before="180" w:line="360" w:lineRule="auto"/>
        <w:rPr>
          <w:sz w:val="24"/>
          <w:szCs w:val="24"/>
        </w:rPr>
      </w:pPr>
    </w:p>
    <w:p w:rsidR="00D62836" w:rsidRPr="00404080" w:rsidRDefault="00D62836" w:rsidP="00DC6DED">
      <w:pPr>
        <w:spacing w:before="120" w:line="360" w:lineRule="auto"/>
        <w:rPr>
          <w:i/>
          <w:sz w:val="24"/>
          <w:szCs w:val="24"/>
        </w:rPr>
      </w:pPr>
      <w:r w:rsidRPr="00404080">
        <w:rPr>
          <w:i/>
          <w:sz w:val="24"/>
          <w:szCs w:val="24"/>
        </w:rPr>
        <w:t xml:space="preserve">Table 1 Title of the table (in billion </w:t>
      </w:r>
      <w:r w:rsidR="005E1D8D" w:rsidRPr="00404080">
        <w:rPr>
          <w:i/>
          <w:sz w:val="24"/>
          <w:szCs w:val="24"/>
        </w:rPr>
        <w:t>euro</w:t>
      </w:r>
      <w:r w:rsidRPr="00404080">
        <w:rPr>
          <w:i/>
          <w:sz w:val="24"/>
          <w:szCs w:val="24"/>
        </w:rPr>
        <w:t>)</w:t>
      </w:r>
    </w:p>
    <w:tbl>
      <w:tblPr>
        <w:tblW w:w="9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912"/>
        <w:gridCol w:w="913"/>
        <w:gridCol w:w="912"/>
        <w:gridCol w:w="913"/>
        <w:gridCol w:w="913"/>
        <w:gridCol w:w="912"/>
        <w:gridCol w:w="913"/>
        <w:gridCol w:w="913"/>
      </w:tblGrid>
      <w:tr w:rsidR="00D62836" w:rsidRPr="00404080" w:rsidTr="00124350">
        <w:trPr>
          <w:trHeight w:val="283"/>
        </w:trPr>
        <w:tc>
          <w:tcPr>
            <w:tcW w:w="1706" w:type="dxa"/>
            <w:noWrap/>
            <w:vAlign w:val="center"/>
          </w:tcPr>
          <w:p w:rsidR="00D62836" w:rsidRPr="00404080" w:rsidRDefault="00D62836" w:rsidP="00402A66">
            <w:pPr>
              <w:jc w:val="center"/>
              <w:rPr>
                <w:b/>
              </w:rPr>
            </w:pPr>
          </w:p>
        </w:tc>
        <w:tc>
          <w:tcPr>
            <w:tcW w:w="1825" w:type="dxa"/>
            <w:gridSpan w:val="2"/>
            <w:noWrap/>
            <w:vAlign w:val="center"/>
          </w:tcPr>
          <w:p w:rsidR="00D62836" w:rsidRPr="00404080" w:rsidRDefault="00D62836" w:rsidP="00402A66">
            <w:pPr>
              <w:jc w:val="center"/>
              <w:rPr>
                <w:b/>
              </w:rPr>
            </w:pPr>
            <w:r w:rsidRPr="00404080">
              <w:rPr>
                <w:b/>
              </w:rPr>
              <w:t>Text</w:t>
            </w:r>
            <w:r w:rsidRPr="00404080">
              <w:rPr>
                <w:b/>
                <w:i/>
                <w:vertAlign w:val="superscript"/>
              </w:rPr>
              <w:t>a</w:t>
            </w:r>
          </w:p>
        </w:tc>
        <w:tc>
          <w:tcPr>
            <w:tcW w:w="1825" w:type="dxa"/>
            <w:gridSpan w:val="2"/>
            <w:noWrap/>
            <w:vAlign w:val="center"/>
          </w:tcPr>
          <w:p w:rsidR="00D62836" w:rsidRPr="00404080" w:rsidRDefault="00D62836" w:rsidP="00402A66">
            <w:pPr>
              <w:jc w:val="center"/>
              <w:rPr>
                <w:b/>
              </w:rPr>
            </w:pPr>
            <w:r w:rsidRPr="00404080">
              <w:rPr>
                <w:b/>
              </w:rPr>
              <w:t>Text</w:t>
            </w:r>
          </w:p>
        </w:tc>
        <w:tc>
          <w:tcPr>
            <w:tcW w:w="1825" w:type="dxa"/>
            <w:gridSpan w:val="2"/>
            <w:noWrap/>
            <w:vAlign w:val="center"/>
          </w:tcPr>
          <w:p w:rsidR="00D62836" w:rsidRPr="00404080" w:rsidRDefault="00D62836" w:rsidP="00402A66">
            <w:pPr>
              <w:jc w:val="center"/>
              <w:rPr>
                <w:b/>
              </w:rPr>
            </w:pPr>
            <w:r w:rsidRPr="00404080">
              <w:rPr>
                <w:b/>
              </w:rPr>
              <w:t>Text</w:t>
            </w:r>
          </w:p>
        </w:tc>
        <w:tc>
          <w:tcPr>
            <w:tcW w:w="1826" w:type="dxa"/>
            <w:gridSpan w:val="2"/>
            <w:noWrap/>
            <w:vAlign w:val="center"/>
          </w:tcPr>
          <w:p w:rsidR="00D62836" w:rsidRPr="00404080" w:rsidRDefault="00D62836" w:rsidP="00402A66">
            <w:pPr>
              <w:jc w:val="center"/>
              <w:rPr>
                <w:b/>
              </w:rPr>
            </w:pPr>
            <w:r w:rsidRPr="00404080">
              <w:rPr>
                <w:b/>
              </w:rPr>
              <w:t>Text</w:t>
            </w:r>
          </w:p>
        </w:tc>
      </w:tr>
      <w:tr w:rsidR="00D62836" w:rsidRPr="00404080" w:rsidTr="00124350">
        <w:trPr>
          <w:trHeight w:val="283"/>
        </w:trPr>
        <w:tc>
          <w:tcPr>
            <w:tcW w:w="1706" w:type="dxa"/>
            <w:noWrap/>
            <w:vAlign w:val="center"/>
          </w:tcPr>
          <w:p w:rsidR="00D62836" w:rsidRPr="00404080" w:rsidRDefault="00D62836" w:rsidP="00402A66">
            <w:pPr>
              <w:jc w:val="center"/>
              <w:rPr>
                <w:b/>
              </w:rPr>
            </w:pPr>
          </w:p>
        </w:tc>
        <w:tc>
          <w:tcPr>
            <w:tcW w:w="912"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2"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2"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r>
      <w:tr w:rsidR="00D62836" w:rsidRPr="00404080" w:rsidTr="00124350">
        <w:trPr>
          <w:trHeight w:val="283"/>
        </w:trPr>
        <w:tc>
          <w:tcPr>
            <w:tcW w:w="1706" w:type="dxa"/>
            <w:noWrap/>
            <w:vAlign w:val="center"/>
          </w:tcPr>
          <w:p w:rsidR="00D62836" w:rsidRPr="00404080" w:rsidRDefault="00D62836" w:rsidP="00402A66">
            <w:r w:rsidRPr="00404080">
              <w:t>Text</w:t>
            </w:r>
          </w:p>
        </w:tc>
        <w:tc>
          <w:tcPr>
            <w:tcW w:w="912" w:type="dxa"/>
            <w:noWrap/>
            <w:tcMar>
              <w:left w:w="115" w:type="dxa"/>
              <w:right w:w="288" w:type="dxa"/>
            </w:tcMar>
            <w:vAlign w:val="center"/>
          </w:tcPr>
          <w:p w:rsidR="00D62836" w:rsidRPr="00404080" w:rsidRDefault="00D62836" w:rsidP="00402A66">
            <w:pPr>
              <w:jc w:val="right"/>
            </w:pPr>
            <w:r w:rsidRPr="00404080">
              <w:t>1,010</w:t>
            </w:r>
          </w:p>
        </w:tc>
        <w:tc>
          <w:tcPr>
            <w:tcW w:w="913" w:type="dxa"/>
            <w:noWrap/>
            <w:tcMar>
              <w:left w:w="115" w:type="dxa"/>
              <w:right w:w="288" w:type="dxa"/>
            </w:tcMar>
            <w:vAlign w:val="center"/>
          </w:tcPr>
          <w:p w:rsidR="00D62836" w:rsidRPr="00404080" w:rsidRDefault="00D62836" w:rsidP="00402A66">
            <w:pPr>
              <w:jc w:val="right"/>
            </w:pPr>
            <w:r w:rsidRPr="00404080">
              <w:t>1,102</w:t>
            </w:r>
          </w:p>
        </w:tc>
        <w:tc>
          <w:tcPr>
            <w:tcW w:w="912" w:type="dxa"/>
            <w:noWrap/>
            <w:tcMar>
              <w:left w:w="115" w:type="dxa"/>
              <w:right w:w="288" w:type="dxa"/>
            </w:tcMar>
            <w:vAlign w:val="center"/>
          </w:tcPr>
          <w:p w:rsidR="00D62836" w:rsidRPr="00404080" w:rsidRDefault="00D62836" w:rsidP="00402A66">
            <w:pPr>
              <w:jc w:val="right"/>
            </w:pPr>
            <w:r w:rsidRPr="00404080">
              <w:t>37</w:t>
            </w:r>
          </w:p>
        </w:tc>
        <w:tc>
          <w:tcPr>
            <w:tcW w:w="913" w:type="dxa"/>
            <w:noWrap/>
            <w:tcMar>
              <w:left w:w="115" w:type="dxa"/>
              <w:right w:w="288" w:type="dxa"/>
            </w:tcMar>
            <w:vAlign w:val="center"/>
          </w:tcPr>
          <w:p w:rsidR="00D62836" w:rsidRPr="00404080" w:rsidRDefault="00D62836" w:rsidP="00402A66">
            <w:pPr>
              <w:jc w:val="right"/>
            </w:pPr>
            <w:r w:rsidRPr="00404080">
              <w:t>38</w:t>
            </w:r>
          </w:p>
        </w:tc>
        <w:tc>
          <w:tcPr>
            <w:tcW w:w="913" w:type="dxa"/>
            <w:noWrap/>
            <w:tcMar>
              <w:left w:w="115" w:type="dxa"/>
              <w:right w:w="288" w:type="dxa"/>
            </w:tcMar>
            <w:vAlign w:val="center"/>
          </w:tcPr>
          <w:p w:rsidR="00D62836" w:rsidRPr="00404080" w:rsidRDefault="00D62836" w:rsidP="00402A66">
            <w:pPr>
              <w:jc w:val="right"/>
            </w:pPr>
            <w:r w:rsidRPr="00404080">
              <w:t>10</w:t>
            </w:r>
          </w:p>
        </w:tc>
        <w:tc>
          <w:tcPr>
            <w:tcW w:w="912" w:type="dxa"/>
            <w:noWrap/>
            <w:tcMar>
              <w:left w:w="115" w:type="dxa"/>
              <w:right w:w="288" w:type="dxa"/>
            </w:tcMar>
            <w:vAlign w:val="center"/>
          </w:tcPr>
          <w:p w:rsidR="00D62836" w:rsidRPr="00404080" w:rsidRDefault="00D62836" w:rsidP="00402A66">
            <w:pPr>
              <w:jc w:val="right"/>
            </w:pPr>
            <w:r w:rsidRPr="00404080">
              <w:t>10</w:t>
            </w:r>
          </w:p>
        </w:tc>
        <w:tc>
          <w:tcPr>
            <w:tcW w:w="913" w:type="dxa"/>
            <w:noWrap/>
            <w:tcMar>
              <w:left w:w="115" w:type="dxa"/>
              <w:right w:w="288" w:type="dxa"/>
            </w:tcMar>
            <w:vAlign w:val="center"/>
          </w:tcPr>
          <w:p w:rsidR="00D62836" w:rsidRPr="00404080" w:rsidRDefault="00D62836" w:rsidP="00402A66">
            <w:pPr>
              <w:jc w:val="right"/>
            </w:pPr>
            <w:r w:rsidRPr="00404080">
              <w:t>1,057</w:t>
            </w:r>
          </w:p>
        </w:tc>
        <w:tc>
          <w:tcPr>
            <w:tcW w:w="913" w:type="dxa"/>
            <w:noWrap/>
            <w:tcMar>
              <w:left w:w="115" w:type="dxa"/>
              <w:right w:w="288" w:type="dxa"/>
            </w:tcMar>
            <w:vAlign w:val="center"/>
          </w:tcPr>
          <w:p w:rsidR="00D62836" w:rsidRPr="00404080" w:rsidRDefault="00D62836" w:rsidP="00402A66">
            <w:pPr>
              <w:jc w:val="right"/>
            </w:pPr>
            <w:r w:rsidRPr="00404080">
              <w:t>1,150</w:t>
            </w:r>
          </w:p>
        </w:tc>
      </w:tr>
      <w:tr w:rsidR="00D62836" w:rsidRPr="00404080" w:rsidTr="00124350">
        <w:trPr>
          <w:trHeight w:val="283"/>
        </w:trPr>
        <w:tc>
          <w:tcPr>
            <w:tcW w:w="1706" w:type="dxa"/>
            <w:noWrap/>
            <w:vAlign w:val="center"/>
          </w:tcPr>
          <w:p w:rsidR="00D62836" w:rsidRPr="00404080" w:rsidRDefault="00D62836" w:rsidP="00402A66">
            <w:r w:rsidRPr="00404080">
              <w:t>Text</w:t>
            </w:r>
          </w:p>
        </w:tc>
        <w:tc>
          <w:tcPr>
            <w:tcW w:w="912" w:type="dxa"/>
            <w:noWrap/>
            <w:tcMar>
              <w:left w:w="115" w:type="dxa"/>
              <w:right w:w="288" w:type="dxa"/>
            </w:tcMar>
            <w:vAlign w:val="center"/>
          </w:tcPr>
          <w:p w:rsidR="00D62836" w:rsidRPr="00404080" w:rsidRDefault="00D62836" w:rsidP="00402A66">
            <w:pPr>
              <w:jc w:val="right"/>
            </w:pPr>
            <w:r w:rsidRPr="00404080">
              <w:t>58</w:t>
            </w:r>
          </w:p>
        </w:tc>
        <w:tc>
          <w:tcPr>
            <w:tcW w:w="913" w:type="dxa"/>
            <w:noWrap/>
            <w:tcMar>
              <w:left w:w="115" w:type="dxa"/>
              <w:right w:w="288" w:type="dxa"/>
            </w:tcMar>
            <w:vAlign w:val="center"/>
          </w:tcPr>
          <w:p w:rsidR="00D62836" w:rsidRPr="00404080" w:rsidRDefault="00D62836" w:rsidP="00402A66">
            <w:pPr>
              <w:jc w:val="right"/>
            </w:pPr>
            <w:r w:rsidRPr="00404080">
              <w:t>32</w:t>
            </w:r>
          </w:p>
        </w:tc>
        <w:tc>
          <w:tcPr>
            <w:tcW w:w="912" w:type="dxa"/>
            <w:noWrap/>
            <w:tcMar>
              <w:left w:w="115" w:type="dxa"/>
              <w:right w:w="288" w:type="dxa"/>
            </w:tcMar>
            <w:vAlign w:val="center"/>
          </w:tcPr>
          <w:p w:rsidR="00D62836" w:rsidRPr="00404080" w:rsidRDefault="00D62836" w:rsidP="00402A66">
            <w:pPr>
              <w:jc w:val="right"/>
            </w:pPr>
            <w:r w:rsidRPr="00404080">
              <w:t>23</w:t>
            </w:r>
          </w:p>
        </w:tc>
        <w:tc>
          <w:tcPr>
            <w:tcW w:w="913" w:type="dxa"/>
            <w:noWrap/>
            <w:tcMar>
              <w:left w:w="115" w:type="dxa"/>
              <w:right w:w="288" w:type="dxa"/>
            </w:tcMar>
            <w:vAlign w:val="center"/>
          </w:tcPr>
          <w:p w:rsidR="00D62836" w:rsidRPr="00404080" w:rsidRDefault="00D62836" w:rsidP="00402A66">
            <w:pPr>
              <w:jc w:val="right"/>
            </w:pPr>
            <w:r w:rsidRPr="00404080">
              <w:t>18</w:t>
            </w:r>
          </w:p>
        </w:tc>
        <w:tc>
          <w:tcPr>
            <w:tcW w:w="913" w:type="dxa"/>
            <w:noWrap/>
            <w:tcMar>
              <w:left w:w="115" w:type="dxa"/>
              <w:right w:w="288" w:type="dxa"/>
            </w:tcMar>
            <w:vAlign w:val="center"/>
          </w:tcPr>
          <w:p w:rsidR="00D62836" w:rsidRPr="00404080" w:rsidRDefault="00D62836" w:rsidP="00402A66">
            <w:pPr>
              <w:jc w:val="right"/>
            </w:pPr>
            <w:r w:rsidRPr="00404080">
              <w:t>179</w:t>
            </w:r>
          </w:p>
        </w:tc>
        <w:tc>
          <w:tcPr>
            <w:tcW w:w="912" w:type="dxa"/>
            <w:noWrap/>
            <w:tcMar>
              <w:left w:w="115" w:type="dxa"/>
              <w:right w:w="288" w:type="dxa"/>
            </w:tcMar>
            <w:vAlign w:val="center"/>
          </w:tcPr>
          <w:p w:rsidR="00D62836" w:rsidRPr="00404080" w:rsidRDefault="00D62836" w:rsidP="00402A66">
            <w:pPr>
              <w:jc w:val="right"/>
            </w:pPr>
            <w:r w:rsidRPr="00404080">
              <w:t>133</w:t>
            </w:r>
          </w:p>
        </w:tc>
        <w:tc>
          <w:tcPr>
            <w:tcW w:w="913" w:type="dxa"/>
            <w:noWrap/>
            <w:tcMar>
              <w:left w:w="115" w:type="dxa"/>
              <w:right w:w="288" w:type="dxa"/>
            </w:tcMar>
            <w:vAlign w:val="center"/>
          </w:tcPr>
          <w:p w:rsidR="00D62836" w:rsidRPr="00404080" w:rsidRDefault="00D62836" w:rsidP="00402A66">
            <w:pPr>
              <w:jc w:val="right"/>
            </w:pPr>
            <w:r w:rsidRPr="00404080">
              <w:t>260</w:t>
            </w:r>
          </w:p>
        </w:tc>
        <w:tc>
          <w:tcPr>
            <w:tcW w:w="913" w:type="dxa"/>
            <w:noWrap/>
            <w:tcMar>
              <w:left w:w="115" w:type="dxa"/>
              <w:right w:w="288" w:type="dxa"/>
            </w:tcMar>
            <w:vAlign w:val="center"/>
          </w:tcPr>
          <w:p w:rsidR="00D62836" w:rsidRPr="00404080" w:rsidRDefault="00D62836" w:rsidP="00402A66">
            <w:pPr>
              <w:jc w:val="right"/>
            </w:pPr>
            <w:r w:rsidRPr="00404080">
              <w:t>182</w:t>
            </w:r>
          </w:p>
        </w:tc>
      </w:tr>
      <w:tr w:rsidR="00D62836" w:rsidRPr="00404080" w:rsidTr="00124350">
        <w:trPr>
          <w:trHeight w:val="283"/>
        </w:trPr>
        <w:tc>
          <w:tcPr>
            <w:tcW w:w="1706" w:type="dxa"/>
            <w:noWrap/>
            <w:vAlign w:val="center"/>
          </w:tcPr>
          <w:p w:rsidR="00D62836" w:rsidRPr="00404080" w:rsidRDefault="00D62836" w:rsidP="00402A66">
            <w:r w:rsidRPr="00404080">
              <w:t xml:space="preserve">Total </w:t>
            </w:r>
          </w:p>
        </w:tc>
        <w:tc>
          <w:tcPr>
            <w:tcW w:w="912" w:type="dxa"/>
            <w:noWrap/>
            <w:tcMar>
              <w:left w:w="115" w:type="dxa"/>
              <w:right w:w="288" w:type="dxa"/>
            </w:tcMar>
            <w:vAlign w:val="center"/>
          </w:tcPr>
          <w:p w:rsidR="00D62836" w:rsidRPr="00404080" w:rsidRDefault="00D62836" w:rsidP="00402A66">
            <w:pPr>
              <w:jc w:val="right"/>
            </w:pPr>
            <w:r w:rsidRPr="00404080">
              <w:t>1,069</w:t>
            </w:r>
          </w:p>
        </w:tc>
        <w:tc>
          <w:tcPr>
            <w:tcW w:w="913" w:type="dxa"/>
            <w:noWrap/>
            <w:tcMar>
              <w:left w:w="115" w:type="dxa"/>
              <w:right w:w="288" w:type="dxa"/>
            </w:tcMar>
            <w:vAlign w:val="center"/>
          </w:tcPr>
          <w:p w:rsidR="00D62836" w:rsidRPr="00404080" w:rsidRDefault="00D62836" w:rsidP="00402A66">
            <w:pPr>
              <w:jc w:val="right"/>
            </w:pPr>
            <w:r w:rsidRPr="00404080">
              <w:t>1,134</w:t>
            </w:r>
          </w:p>
        </w:tc>
        <w:tc>
          <w:tcPr>
            <w:tcW w:w="912" w:type="dxa"/>
            <w:noWrap/>
            <w:tcMar>
              <w:left w:w="115" w:type="dxa"/>
              <w:right w:w="288" w:type="dxa"/>
            </w:tcMar>
            <w:vAlign w:val="center"/>
          </w:tcPr>
          <w:p w:rsidR="00D62836" w:rsidRPr="00404080" w:rsidRDefault="00D62836" w:rsidP="00402A66">
            <w:pPr>
              <w:jc w:val="right"/>
            </w:pPr>
            <w:r w:rsidRPr="00404080">
              <w:t>60</w:t>
            </w:r>
          </w:p>
        </w:tc>
        <w:tc>
          <w:tcPr>
            <w:tcW w:w="913" w:type="dxa"/>
            <w:noWrap/>
            <w:tcMar>
              <w:left w:w="115" w:type="dxa"/>
              <w:right w:w="288" w:type="dxa"/>
            </w:tcMar>
            <w:vAlign w:val="center"/>
          </w:tcPr>
          <w:p w:rsidR="00D62836" w:rsidRPr="00404080" w:rsidRDefault="00D62836" w:rsidP="00402A66">
            <w:pPr>
              <w:jc w:val="right"/>
            </w:pPr>
            <w:r w:rsidRPr="00404080">
              <w:t>56</w:t>
            </w:r>
          </w:p>
        </w:tc>
        <w:tc>
          <w:tcPr>
            <w:tcW w:w="913" w:type="dxa"/>
            <w:noWrap/>
            <w:tcMar>
              <w:left w:w="115" w:type="dxa"/>
              <w:right w:w="288" w:type="dxa"/>
            </w:tcMar>
            <w:vAlign w:val="center"/>
          </w:tcPr>
          <w:p w:rsidR="00D62836" w:rsidRPr="00404080" w:rsidRDefault="00D62836" w:rsidP="00402A66">
            <w:pPr>
              <w:jc w:val="right"/>
            </w:pPr>
            <w:r w:rsidRPr="00404080">
              <w:t>188</w:t>
            </w:r>
          </w:p>
        </w:tc>
        <w:tc>
          <w:tcPr>
            <w:tcW w:w="912" w:type="dxa"/>
            <w:noWrap/>
            <w:tcMar>
              <w:left w:w="115" w:type="dxa"/>
              <w:right w:w="288" w:type="dxa"/>
            </w:tcMar>
            <w:vAlign w:val="center"/>
          </w:tcPr>
          <w:p w:rsidR="00D62836" w:rsidRPr="00404080" w:rsidRDefault="00D62836" w:rsidP="00402A66">
            <w:pPr>
              <w:jc w:val="right"/>
            </w:pPr>
            <w:r w:rsidRPr="00404080">
              <w:t>143</w:t>
            </w:r>
          </w:p>
        </w:tc>
        <w:tc>
          <w:tcPr>
            <w:tcW w:w="913" w:type="dxa"/>
            <w:noWrap/>
            <w:tcMar>
              <w:left w:w="115" w:type="dxa"/>
              <w:right w:w="288" w:type="dxa"/>
            </w:tcMar>
            <w:vAlign w:val="center"/>
          </w:tcPr>
          <w:p w:rsidR="00D62836" w:rsidRPr="00404080" w:rsidRDefault="00D62836" w:rsidP="00402A66">
            <w:pPr>
              <w:jc w:val="right"/>
            </w:pPr>
            <w:r w:rsidRPr="00404080">
              <w:t>1,317</w:t>
            </w:r>
          </w:p>
        </w:tc>
        <w:tc>
          <w:tcPr>
            <w:tcW w:w="913" w:type="dxa"/>
            <w:noWrap/>
            <w:tcMar>
              <w:left w:w="115" w:type="dxa"/>
              <w:right w:w="288" w:type="dxa"/>
            </w:tcMar>
            <w:vAlign w:val="center"/>
          </w:tcPr>
          <w:p w:rsidR="00D62836" w:rsidRPr="00404080" w:rsidRDefault="00D62836" w:rsidP="00402A66">
            <w:pPr>
              <w:jc w:val="right"/>
            </w:pPr>
            <w:r w:rsidRPr="00404080">
              <w:t>1,333</w:t>
            </w:r>
          </w:p>
        </w:tc>
      </w:tr>
    </w:tbl>
    <w:p w:rsidR="00D62836" w:rsidRPr="00404080" w:rsidRDefault="00D62836" w:rsidP="00D62836">
      <w:pPr>
        <w:rPr>
          <w:i/>
          <w:sz w:val="18"/>
          <w:szCs w:val="18"/>
        </w:rPr>
      </w:pPr>
      <w:proofErr w:type="spellStart"/>
      <w:r w:rsidRPr="00404080">
        <w:rPr>
          <w:b/>
          <w:i/>
          <w:sz w:val="18"/>
          <w:szCs w:val="18"/>
          <w:vertAlign w:val="superscript"/>
        </w:rPr>
        <w:t>a</w:t>
      </w:r>
      <w:proofErr w:type="spellEnd"/>
      <w:r w:rsidRPr="00404080">
        <w:rPr>
          <w:i/>
          <w:sz w:val="18"/>
          <w:szCs w:val="18"/>
        </w:rPr>
        <w:t xml:space="preserve"> Explanation. </w:t>
      </w:r>
    </w:p>
    <w:p w:rsidR="00D62836" w:rsidRPr="00404080" w:rsidRDefault="00D62836" w:rsidP="00D62836">
      <w:pPr>
        <w:rPr>
          <w:i/>
          <w:sz w:val="18"/>
          <w:szCs w:val="18"/>
        </w:rPr>
      </w:pPr>
      <w:r w:rsidRPr="00404080">
        <w:rPr>
          <w:i/>
          <w:sz w:val="18"/>
          <w:szCs w:val="18"/>
        </w:rPr>
        <w:t>Source: Text (20</w:t>
      </w:r>
      <w:r w:rsidR="00DC6DED" w:rsidRPr="00404080">
        <w:rPr>
          <w:i/>
          <w:sz w:val="18"/>
          <w:szCs w:val="18"/>
        </w:rPr>
        <w:t>15</w:t>
      </w:r>
      <w:r w:rsidRPr="00404080">
        <w:rPr>
          <w:i/>
          <w:sz w:val="18"/>
          <w:szCs w:val="18"/>
        </w:rPr>
        <w:t>, 20</w:t>
      </w:r>
      <w:r w:rsidR="00DC6DED" w:rsidRPr="00404080">
        <w:rPr>
          <w:i/>
          <w:sz w:val="18"/>
          <w:szCs w:val="18"/>
        </w:rPr>
        <w:t>16</w:t>
      </w:r>
      <w:r w:rsidRPr="00404080">
        <w:rPr>
          <w:i/>
          <w:sz w:val="18"/>
          <w:szCs w:val="18"/>
        </w:rPr>
        <w:t>).</w:t>
      </w:r>
    </w:p>
    <w:p w:rsidR="00D62836" w:rsidRDefault="00D62836" w:rsidP="006612F5">
      <w:pPr>
        <w:spacing w:before="200" w:line="360" w:lineRule="auto"/>
        <w:rPr>
          <w:sz w:val="24"/>
          <w:szCs w:val="24"/>
        </w:rPr>
      </w:pPr>
      <w:r w:rsidRPr="00404080">
        <w:rPr>
          <w:i/>
          <w:iCs/>
          <w:sz w:val="24"/>
          <w:szCs w:val="24"/>
        </w:rPr>
        <w:t>Graphs</w:t>
      </w:r>
      <w:r w:rsidRPr="00404080">
        <w:rPr>
          <w:sz w:val="24"/>
          <w:szCs w:val="24"/>
        </w:rPr>
        <w:t xml:space="preserve"> should be only black and white (not in colour), they must be easily read, in </w:t>
      </w:r>
      <w:r w:rsidR="00B0387E">
        <w:rPr>
          <w:sz w:val="24"/>
          <w:szCs w:val="24"/>
        </w:rPr>
        <w:t xml:space="preserve">a </w:t>
      </w:r>
      <w:r w:rsidRPr="00404080">
        <w:rPr>
          <w:sz w:val="24"/>
          <w:szCs w:val="24"/>
        </w:rPr>
        <w:t>size th</w:t>
      </w:r>
      <w:r w:rsidR="00404080" w:rsidRPr="00404080">
        <w:rPr>
          <w:sz w:val="24"/>
          <w:szCs w:val="24"/>
        </w:rPr>
        <w:t xml:space="preserve">at </w:t>
      </w:r>
      <w:r w:rsidR="00B0387E">
        <w:rPr>
          <w:sz w:val="24"/>
          <w:szCs w:val="24"/>
        </w:rPr>
        <w:t>will</w:t>
      </w:r>
      <w:r w:rsidR="00B0387E" w:rsidRPr="00404080">
        <w:rPr>
          <w:sz w:val="24"/>
          <w:szCs w:val="24"/>
        </w:rPr>
        <w:t xml:space="preserve"> </w:t>
      </w:r>
      <w:r w:rsidRPr="00404080">
        <w:rPr>
          <w:sz w:val="24"/>
          <w:szCs w:val="24"/>
        </w:rPr>
        <w:t xml:space="preserve">fit the area of the page and they should be marked in such a way as to be readable even if reduced. At the request of the publisher, the author </w:t>
      </w:r>
      <w:r w:rsidR="00B0387E">
        <w:rPr>
          <w:sz w:val="24"/>
          <w:szCs w:val="24"/>
        </w:rPr>
        <w:t>will</w:t>
      </w:r>
      <w:r w:rsidR="00B0387E" w:rsidRPr="00404080">
        <w:rPr>
          <w:sz w:val="24"/>
          <w:szCs w:val="24"/>
        </w:rPr>
        <w:t xml:space="preserve"> </w:t>
      </w:r>
      <w:r w:rsidRPr="00404080">
        <w:rPr>
          <w:sz w:val="24"/>
          <w:szCs w:val="24"/>
        </w:rPr>
        <w:t>send graphs in an Excel document</w:t>
      </w:r>
      <w:r w:rsidR="002B4D2E" w:rsidRPr="00404080">
        <w:rPr>
          <w:sz w:val="24"/>
          <w:szCs w:val="24"/>
        </w:rPr>
        <w:t xml:space="preserve"> or other editable document</w:t>
      </w:r>
      <w:r w:rsidRPr="00404080">
        <w:rPr>
          <w:sz w:val="24"/>
          <w:szCs w:val="24"/>
        </w:rPr>
        <w:t xml:space="preserve">. </w:t>
      </w:r>
    </w:p>
    <w:p w:rsidR="00A643C6" w:rsidRPr="00404080" w:rsidRDefault="00A643C6" w:rsidP="006612F5">
      <w:pPr>
        <w:spacing w:before="200" w:line="360" w:lineRule="auto"/>
        <w:rPr>
          <w:sz w:val="24"/>
          <w:szCs w:val="24"/>
        </w:rPr>
      </w:pPr>
    </w:p>
    <w:p w:rsidR="00D62836" w:rsidRPr="00404080" w:rsidRDefault="00D62836" w:rsidP="006612F5">
      <w:pPr>
        <w:spacing w:line="360" w:lineRule="auto"/>
        <w:rPr>
          <w:sz w:val="24"/>
          <w:szCs w:val="24"/>
        </w:rPr>
      </w:pPr>
      <w:r w:rsidRPr="00404080">
        <w:rPr>
          <w:sz w:val="24"/>
          <w:szCs w:val="24"/>
        </w:rPr>
        <w:t>Graphs should have titles above them. The legends should be legible and clear. The sources and explanations are listed below and not in the graph itself. Numbers should be shortened whenever possible (e.g. million (</w:t>
      </w:r>
      <w:proofErr w:type="spellStart"/>
      <w:r w:rsidRPr="00404080">
        <w:rPr>
          <w:sz w:val="24"/>
          <w:szCs w:val="24"/>
        </w:rPr>
        <w:t>mn</w:t>
      </w:r>
      <w:proofErr w:type="spellEnd"/>
      <w:r w:rsidRPr="00404080">
        <w:rPr>
          <w:sz w:val="24"/>
          <w:szCs w:val="24"/>
        </w:rPr>
        <w:t xml:space="preserve">) or billion (bn) kuna; see example in graph 1). </w:t>
      </w:r>
    </w:p>
    <w:p w:rsidR="00D62836" w:rsidRPr="00404080" w:rsidRDefault="00D62836" w:rsidP="006612F5">
      <w:pPr>
        <w:spacing w:before="120" w:line="360" w:lineRule="auto"/>
        <w:rPr>
          <w:i/>
          <w:sz w:val="24"/>
          <w:szCs w:val="24"/>
        </w:rPr>
      </w:pPr>
      <w:r w:rsidRPr="00404080">
        <w:rPr>
          <w:i/>
          <w:sz w:val="24"/>
          <w:szCs w:val="24"/>
        </w:rPr>
        <w:t xml:space="preserve">Graph 1 Title of the graph (in </w:t>
      </w:r>
      <w:r w:rsidR="00081833" w:rsidRPr="00404080">
        <w:rPr>
          <w:i/>
          <w:sz w:val="24"/>
          <w:szCs w:val="24"/>
        </w:rPr>
        <w:t>m</w:t>
      </w:r>
      <w:r w:rsidRPr="00404080">
        <w:rPr>
          <w:i/>
          <w:sz w:val="24"/>
          <w:szCs w:val="24"/>
        </w:rPr>
        <w:t xml:space="preserve">illion </w:t>
      </w:r>
      <w:r w:rsidR="00081833" w:rsidRPr="00404080">
        <w:rPr>
          <w:i/>
          <w:sz w:val="24"/>
          <w:szCs w:val="24"/>
        </w:rPr>
        <w:t>euro</w:t>
      </w:r>
      <w:r w:rsidRPr="00404080">
        <w:rPr>
          <w:i/>
          <w:sz w:val="24"/>
          <w:szCs w:val="24"/>
        </w:rPr>
        <w:t>)</w:t>
      </w:r>
    </w:p>
    <w:p w:rsidR="00D62836" w:rsidRPr="00404080" w:rsidRDefault="00BD777E" w:rsidP="00D62836">
      <w:pPr>
        <w:rPr>
          <w:i/>
          <w:sz w:val="18"/>
          <w:szCs w:val="18"/>
        </w:rPr>
      </w:pPr>
      <w:r w:rsidRPr="00404080">
        <w:rPr>
          <w:noProof/>
          <w:lang w:val="hr-HR" w:eastAsia="hr-HR"/>
        </w:rPr>
        <w:drawing>
          <wp:inline distT="0" distB="0" distL="0" distR="0">
            <wp:extent cx="5760000" cy="3060000"/>
            <wp:effectExtent l="0" t="0" r="1270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4888" w:rsidRPr="00404080" w:rsidRDefault="00BD777E" w:rsidP="00A643C6">
      <w:pPr>
        <w:rPr>
          <w:sz w:val="24"/>
          <w:szCs w:val="24"/>
          <w:lang w:eastAsia="sl-SI"/>
        </w:rPr>
      </w:pPr>
      <w:r w:rsidRPr="00404080">
        <w:rPr>
          <w:i/>
          <w:sz w:val="18"/>
          <w:szCs w:val="18"/>
        </w:rPr>
        <w:t>Source: Text (2016</w:t>
      </w:r>
      <w:r w:rsidR="00D62836" w:rsidRPr="00404080">
        <w:rPr>
          <w:i/>
          <w:sz w:val="18"/>
          <w:szCs w:val="18"/>
        </w:rPr>
        <w:t>).</w:t>
      </w:r>
      <w:bookmarkStart w:id="0" w:name="_GoBack"/>
      <w:bookmarkEnd w:id="0"/>
    </w:p>
    <w:p w:rsidR="00126529" w:rsidRPr="00404080" w:rsidRDefault="00126529">
      <w:pPr>
        <w:jc w:val="left"/>
        <w:rPr>
          <w:b/>
          <w:color w:val="C00000"/>
          <w:sz w:val="24"/>
          <w:szCs w:val="24"/>
          <w:lang w:eastAsia="sl-SI"/>
        </w:rPr>
      </w:pPr>
      <w:r w:rsidRPr="00404080">
        <w:rPr>
          <w:b/>
          <w:color w:val="C00000"/>
          <w:sz w:val="24"/>
          <w:szCs w:val="24"/>
          <w:lang w:eastAsia="sl-SI"/>
        </w:rPr>
        <w:br w:type="page"/>
      </w:r>
    </w:p>
    <w:p w:rsidR="004E4888" w:rsidRPr="00B0498D" w:rsidRDefault="00581744" w:rsidP="00392FC4">
      <w:pPr>
        <w:spacing w:line="360" w:lineRule="auto"/>
        <w:rPr>
          <w:b/>
          <w:color w:val="C00000"/>
          <w:sz w:val="24"/>
          <w:szCs w:val="24"/>
          <w:lang w:eastAsia="sl-SI"/>
        </w:rPr>
      </w:pPr>
      <w:r w:rsidRPr="00B0498D">
        <w:rPr>
          <w:b/>
          <w:color w:val="C00000"/>
          <w:sz w:val="24"/>
          <w:szCs w:val="24"/>
          <w:lang w:eastAsia="sl-SI"/>
        </w:rPr>
        <w:lastRenderedPageBreak/>
        <w:t>REFERENCES</w:t>
      </w:r>
    </w:p>
    <w:p w:rsidR="00581744" w:rsidRPr="00B0498D" w:rsidRDefault="00581744" w:rsidP="00581744">
      <w:pPr>
        <w:spacing w:line="360" w:lineRule="auto"/>
        <w:rPr>
          <w:sz w:val="24"/>
          <w:szCs w:val="24"/>
          <w:lang w:eastAsia="sl-SI"/>
        </w:rPr>
      </w:pPr>
      <w:r w:rsidRPr="00B0498D">
        <w:rPr>
          <w:sz w:val="24"/>
          <w:szCs w:val="24"/>
          <w:lang w:eastAsia="sl-SI"/>
        </w:rPr>
        <w:t>The author-date system of citation for references should be used in the text, followed by page number if a direct quotation is given, e.g. (Jackson</w:t>
      </w:r>
      <w:r w:rsidR="00081833" w:rsidRPr="00B0498D">
        <w:rPr>
          <w:sz w:val="24"/>
          <w:szCs w:val="24"/>
          <w:lang w:eastAsia="sl-SI"/>
        </w:rPr>
        <w:t>,</w:t>
      </w:r>
      <w:r w:rsidRPr="00B0498D">
        <w:rPr>
          <w:sz w:val="24"/>
          <w:szCs w:val="24"/>
          <w:lang w:eastAsia="sl-SI"/>
        </w:rPr>
        <w:t xml:space="preserve"> 1979</w:t>
      </w:r>
      <w:r w:rsidR="00081833" w:rsidRPr="00B0498D">
        <w:rPr>
          <w:sz w:val="24"/>
          <w:szCs w:val="24"/>
          <w:lang w:eastAsia="sl-SI"/>
        </w:rPr>
        <w:t>:</w:t>
      </w:r>
      <w:r w:rsidRPr="00B0498D">
        <w:rPr>
          <w:sz w:val="24"/>
          <w:szCs w:val="24"/>
          <w:lang w:eastAsia="sl-SI"/>
        </w:rPr>
        <w:t xml:space="preserve">181). The alphabetized reference list should be titled </w:t>
      </w:r>
      <w:r w:rsidR="00081833" w:rsidRPr="00B0498D">
        <w:rPr>
          <w:sz w:val="24"/>
          <w:szCs w:val="24"/>
          <w:lang w:eastAsia="sl-SI"/>
        </w:rPr>
        <w:t>“</w:t>
      </w:r>
      <w:r w:rsidRPr="00B0498D">
        <w:rPr>
          <w:sz w:val="24"/>
          <w:szCs w:val="24"/>
          <w:lang w:eastAsia="sl-SI"/>
        </w:rPr>
        <w:t>References</w:t>
      </w:r>
      <w:r w:rsidR="00081833" w:rsidRPr="00B0498D">
        <w:rPr>
          <w:sz w:val="24"/>
          <w:szCs w:val="24"/>
          <w:lang w:eastAsia="sl-SI"/>
        </w:rPr>
        <w:t>”</w:t>
      </w:r>
      <w:r w:rsidRPr="00B0498D">
        <w:rPr>
          <w:sz w:val="24"/>
          <w:szCs w:val="24"/>
          <w:lang w:eastAsia="sl-SI"/>
        </w:rPr>
        <w:t xml:space="preserve"> with entries in the following format (please note that initials should be used for the authors' names):</w:t>
      </w:r>
    </w:p>
    <w:p w:rsidR="00081833" w:rsidRPr="00B0498D" w:rsidRDefault="00081833" w:rsidP="005E75FA">
      <w:pPr>
        <w:spacing w:line="360" w:lineRule="auto"/>
        <w:ind w:left="142" w:hanging="142"/>
        <w:rPr>
          <w:sz w:val="24"/>
          <w:szCs w:val="24"/>
        </w:rPr>
      </w:pPr>
    </w:p>
    <w:p w:rsidR="00081833" w:rsidRPr="00B0498D" w:rsidRDefault="00081833" w:rsidP="005E75FA">
      <w:pPr>
        <w:spacing w:line="360" w:lineRule="auto"/>
        <w:ind w:left="142" w:hanging="142"/>
        <w:rPr>
          <w:sz w:val="24"/>
          <w:szCs w:val="24"/>
        </w:rPr>
      </w:pPr>
      <w:r w:rsidRPr="00B0498D">
        <w:rPr>
          <w:sz w:val="24"/>
          <w:szCs w:val="24"/>
        </w:rPr>
        <w:t xml:space="preserve">The references should be cited according to the </w:t>
      </w:r>
      <w:hyperlink r:id="rId16" w:history="1">
        <w:r w:rsidRPr="00B0498D">
          <w:rPr>
            <w:rStyle w:val="Hyperlink"/>
            <w:sz w:val="24"/>
            <w:szCs w:val="24"/>
          </w:rPr>
          <w:t>Harvard Style of Referencing</w:t>
        </w:r>
      </w:hyperlink>
      <w:r w:rsidRPr="00B0498D">
        <w:rPr>
          <w:sz w:val="24"/>
          <w:szCs w:val="24"/>
        </w:rPr>
        <w:t>.</w:t>
      </w:r>
    </w:p>
    <w:p w:rsidR="001D7D30" w:rsidRPr="00B0498D" w:rsidRDefault="001D7D30" w:rsidP="005E75FA">
      <w:pPr>
        <w:spacing w:line="360" w:lineRule="auto"/>
        <w:rPr>
          <w:sz w:val="24"/>
          <w:szCs w:val="24"/>
          <w:lang w:eastAsia="sl-SI"/>
        </w:rPr>
      </w:pPr>
    </w:p>
    <w:p w:rsidR="001C7C20" w:rsidRPr="00B0498D" w:rsidRDefault="001C7C20" w:rsidP="005E75FA">
      <w:pPr>
        <w:spacing w:after="120" w:line="360" w:lineRule="auto"/>
        <w:jc w:val="left"/>
        <w:rPr>
          <w:b/>
          <w:sz w:val="24"/>
          <w:szCs w:val="24"/>
          <w:lang w:eastAsia="sl-SI"/>
        </w:rPr>
      </w:pPr>
      <w:r w:rsidRPr="00B0498D">
        <w:rPr>
          <w:b/>
          <w:sz w:val="24"/>
          <w:szCs w:val="24"/>
          <w:lang w:eastAsia="sl-SI"/>
        </w:rPr>
        <w:t>Books and chapters</w:t>
      </w:r>
    </w:p>
    <w:p w:rsidR="001C7C20" w:rsidRPr="00B0498D" w:rsidRDefault="001C7C20" w:rsidP="005E75FA">
      <w:pPr>
        <w:spacing w:after="120"/>
        <w:ind w:left="284" w:hanging="284"/>
        <w:jc w:val="left"/>
        <w:rPr>
          <w:sz w:val="24"/>
          <w:szCs w:val="24"/>
          <w:lang w:eastAsia="sl-SI"/>
        </w:rPr>
      </w:pPr>
      <w:r w:rsidRPr="00B0498D">
        <w:rPr>
          <w:sz w:val="24"/>
          <w:szCs w:val="24"/>
          <w:lang w:eastAsia="sl-SI"/>
        </w:rPr>
        <w:t xml:space="preserve">Adams, R. J., Weiss, T. D. and </w:t>
      </w:r>
      <w:proofErr w:type="spellStart"/>
      <w:r w:rsidRPr="00B0498D">
        <w:rPr>
          <w:sz w:val="24"/>
          <w:szCs w:val="24"/>
          <w:lang w:eastAsia="sl-SI"/>
        </w:rPr>
        <w:t>Coatie</w:t>
      </w:r>
      <w:proofErr w:type="spellEnd"/>
      <w:r w:rsidRPr="00B0498D">
        <w:rPr>
          <w:sz w:val="24"/>
          <w:szCs w:val="24"/>
          <w:lang w:eastAsia="sl-SI"/>
        </w:rPr>
        <w:t xml:space="preserve">, J. J., 2010. </w:t>
      </w:r>
      <w:r w:rsidRPr="00B0498D">
        <w:rPr>
          <w:i/>
          <w:sz w:val="24"/>
          <w:szCs w:val="24"/>
          <w:lang w:eastAsia="sl-SI"/>
        </w:rPr>
        <w:t>The World Health Organisation, its history and impact</w:t>
      </w:r>
      <w:r w:rsidRPr="00B0498D">
        <w:rPr>
          <w:sz w:val="24"/>
          <w:szCs w:val="24"/>
          <w:lang w:eastAsia="sl-SI"/>
        </w:rPr>
        <w:t>. London: Perseus.</w:t>
      </w:r>
    </w:p>
    <w:p w:rsidR="001C7C20" w:rsidRPr="00B0498D" w:rsidRDefault="001C7C20" w:rsidP="005E75FA">
      <w:pPr>
        <w:spacing w:after="120"/>
        <w:ind w:left="142" w:hanging="142"/>
        <w:jc w:val="left"/>
        <w:rPr>
          <w:color w:val="000000"/>
          <w:sz w:val="24"/>
          <w:szCs w:val="24"/>
          <w:shd w:val="clear" w:color="auto" w:fill="FFFFFF"/>
        </w:rPr>
      </w:pPr>
      <w:proofErr w:type="spellStart"/>
      <w:r w:rsidRPr="00B0498D">
        <w:rPr>
          <w:color w:val="000000"/>
          <w:sz w:val="24"/>
          <w:szCs w:val="24"/>
          <w:shd w:val="clear" w:color="auto" w:fill="FFFFFF"/>
        </w:rPr>
        <w:t>Alesina</w:t>
      </w:r>
      <w:proofErr w:type="spellEnd"/>
      <w:r w:rsidRPr="00B0498D">
        <w:rPr>
          <w:color w:val="000000"/>
          <w:sz w:val="24"/>
          <w:szCs w:val="24"/>
          <w:shd w:val="clear" w:color="auto" w:fill="FFFFFF"/>
        </w:rPr>
        <w:t xml:space="preserve">, A. and </w:t>
      </w:r>
      <w:proofErr w:type="spellStart"/>
      <w:r w:rsidRPr="00B0498D">
        <w:rPr>
          <w:color w:val="000000"/>
          <w:sz w:val="24"/>
          <w:szCs w:val="24"/>
          <w:shd w:val="clear" w:color="auto" w:fill="FFFFFF"/>
        </w:rPr>
        <w:t>Giavazzi</w:t>
      </w:r>
      <w:proofErr w:type="spellEnd"/>
      <w:r w:rsidRPr="00B0498D">
        <w:rPr>
          <w:color w:val="000000"/>
          <w:sz w:val="24"/>
          <w:szCs w:val="24"/>
          <w:shd w:val="clear" w:color="auto" w:fill="FFFFFF"/>
        </w:rPr>
        <w:t xml:space="preserve">, F., 2013. Introduction. In: </w:t>
      </w:r>
      <w:proofErr w:type="spellStart"/>
      <w:r w:rsidRPr="00B0498D">
        <w:rPr>
          <w:color w:val="000000"/>
          <w:sz w:val="24"/>
          <w:szCs w:val="24"/>
          <w:shd w:val="clear" w:color="auto" w:fill="FFFFFF"/>
        </w:rPr>
        <w:t>Alesina</w:t>
      </w:r>
      <w:proofErr w:type="spellEnd"/>
      <w:r w:rsidRPr="00B0498D">
        <w:rPr>
          <w:color w:val="000000"/>
          <w:sz w:val="24"/>
          <w:szCs w:val="24"/>
          <w:shd w:val="clear" w:color="auto" w:fill="FFFFFF"/>
        </w:rPr>
        <w:t xml:space="preserve">, A. and </w:t>
      </w:r>
      <w:proofErr w:type="spellStart"/>
      <w:r w:rsidRPr="00B0498D">
        <w:rPr>
          <w:color w:val="000000"/>
          <w:sz w:val="24"/>
          <w:szCs w:val="24"/>
          <w:shd w:val="clear" w:color="auto" w:fill="FFFFFF"/>
        </w:rPr>
        <w:t>Giavazzi</w:t>
      </w:r>
      <w:proofErr w:type="spellEnd"/>
      <w:r w:rsidRPr="00B0498D">
        <w:rPr>
          <w:color w:val="000000"/>
          <w:sz w:val="24"/>
          <w:szCs w:val="24"/>
          <w:shd w:val="clear" w:color="auto" w:fill="FFFFFF"/>
        </w:rPr>
        <w:t>, F., eds.</w:t>
      </w:r>
      <w:r w:rsidRPr="00B0498D">
        <w:rPr>
          <w:rStyle w:val="apple-converted-space"/>
          <w:color w:val="000000"/>
          <w:sz w:val="24"/>
          <w:szCs w:val="24"/>
          <w:shd w:val="clear" w:color="auto" w:fill="FFFFFF"/>
        </w:rPr>
        <w:t xml:space="preserve"> </w:t>
      </w:r>
      <w:r w:rsidRPr="00B0498D">
        <w:rPr>
          <w:i/>
          <w:iCs/>
          <w:color w:val="000000"/>
          <w:sz w:val="24"/>
          <w:szCs w:val="24"/>
          <w:shd w:val="clear" w:color="auto" w:fill="FFFFFF"/>
        </w:rPr>
        <w:t>Fiscal policy after the financial crisis</w:t>
      </w:r>
      <w:r w:rsidRPr="00B0498D">
        <w:rPr>
          <w:color w:val="000000"/>
          <w:sz w:val="24"/>
          <w:szCs w:val="24"/>
          <w:shd w:val="clear" w:color="auto" w:fill="FFFFFF"/>
        </w:rPr>
        <w:t>. Chicago: University of Chicago Press, pp. 1-18.</w:t>
      </w:r>
    </w:p>
    <w:p w:rsidR="001C7C20" w:rsidRPr="00B0498D" w:rsidRDefault="001C7C20" w:rsidP="005E75FA">
      <w:pPr>
        <w:spacing w:after="120"/>
        <w:ind w:left="284" w:hanging="284"/>
        <w:jc w:val="left"/>
        <w:rPr>
          <w:sz w:val="24"/>
          <w:szCs w:val="24"/>
          <w:lang w:eastAsia="sl-SI"/>
        </w:rPr>
      </w:pPr>
      <w:proofErr w:type="spellStart"/>
      <w:r w:rsidRPr="00B0498D">
        <w:rPr>
          <w:sz w:val="24"/>
          <w:szCs w:val="24"/>
          <w:lang w:eastAsia="sl-SI"/>
        </w:rPr>
        <w:t>Allouche</w:t>
      </w:r>
      <w:proofErr w:type="spellEnd"/>
      <w:r w:rsidRPr="00B0498D">
        <w:rPr>
          <w:sz w:val="24"/>
          <w:szCs w:val="24"/>
          <w:lang w:eastAsia="sl-SI"/>
        </w:rPr>
        <w:t xml:space="preserve">, J. ed., 2006. </w:t>
      </w:r>
      <w:r w:rsidRPr="00B0498D">
        <w:rPr>
          <w:i/>
          <w:sz w:val="24"/>
          <w:szCs w:val="24"/>
          <w:lang w:eastAsia="sl-SI"/>
        </w:rPr>
        <w:t xml:space="preserve">Corporate social responsibility, Volume 1: concepts, accountability and reporting. </w:t>
      </w:r>
      <w:r w:rsidRPr="00B0498D">
        <w:rPr>
          <w:sz w:val="24"/>
          <w:szCs w:val="24"/>
          <w:lang w:eastAsia="sl-SI"/>
        </w:rPr>
        <w:t>Basingstoke: Palgrave Macmillan.</w:t>
      </w:r>
    </w:p>
    <w:p w:rsidR="001C7C20" w:rsidRPr="00B0498D" w:rsidRDefault="001C7C20" w:rsidP="005E75FA">
      <w:pPr>
        <w:spacing w:after="120"/>
        <w:ind w:left="284" w:hanging="284"/>
        <w:jc w:val="left"/>
        <w:rPr>
          <w:sz w:val="24"/>
          <w:szCs w:val="24"/>
          <w:lang w:eastAsia="sl-SI"/>
        </w:rPr>
      </w:pPr>
      <w:proofErr w:type="spellStart"/>
      <w:r w:rsidRPr="00B0498D">
        <w:rPr>
          <w:sz w:val="24"/>
          <w:szCs w:val="24"/>
          <w:lang w:eastAsia="sl-SI"/>
        </w:rPr>
        <w:t>Guardiancich</w:t>
      </w:r>
      <w:proofErr w:type="spellEnd"/>
      <w:r w:rsidRPr="00B0498D">
        <w:rPr>
          <w:sz w:val="24"/>
          <w:szCs w:val="24"/>
          <w:lang w:eastAsia="sl-SI"/>
        </w:rPr>
        <w:t xml:space="preserve">, I., 2013. </w:t>
      </w:r>
      <w:r w:rsidRPr="00B0498D">
        <w:rPr>
          <w:i/>
          <w:sz w:val="24"/>
          <w:szCs w:val="24"/>
          <w:lang w:eastAsia="sl-SI"/>
        </w:rPr>
        <w:t xml:space="preserve">Pension Reforms in Central, Eastern and </w:t>
      </w:r>
      <w:proofErr w:type="spellStart"/>
      <w:r w:rsidRPr="00B0498D">
        <w:rPr>
          <w:i/>
          <w:sz w:val="24"/>
          <w:szCs w:val="24"/>
          <w:lang w:eastAsia="sl-SI"/>
        </w:rPr>
        <w:t>Southeastern</w:t>
      </w:r>
      <w:proofErr w:type="spellEnd"/>
      <w:r w:rsidRPr="00B0498D">
        <w:rPr>
          <w:i/>
          <w:sz w:val="24"/>
          <w:szCs w:val="24"/>
          <w:lang w:eastAsia="sl-SI"/>
        </w:rPr>
        <w:t xml:space="preserve"> Europe: From post-socialist transition to the global financial crisis.</w:t>
      </w:r>
      <w:r w:rsidRPr="00B0498D">
        <w:rPr>
          <w:sz w:val="24"/>
          <w:szCs w:val="24"/>
          <w:lang w:eastAsia="sl-SI"/>
        </w:rPr>
        <w:t xml:space="preserve"> </w:t>
      </w:r>
      <w:proofErr w:type="gramStart"/>
      <w:r w:rsidRPr="00B0498D">
        <w:rPr>
          <w:sz w:val="24"/>
          <w:szCs w:val="24"/>
          <w:lang w:eastAsia="sl-SI"/>
        </w:rPr>
        <w:t>London</w:t>
      </w:r>
      <w:r w:rsidR="00E13E49" w:rsidRPr="00B0498D">
        <w:rPr>
          <w:sz w:val="24"/>
          <w:szCs w:val="24"/>
          <w:lang w:eastAsia="sl-SI"/>
        </w:rPr>
        <w:t xml:space="preserve"> </w:t>
      </w:r>
      <w:r w:rsidRPr="00B0498D">
        <w:rPr>
          <w:sz w:val="24"/>
          <w:szCs w:val="24"/>
          <w:lang w:eastAsia="sl-SI"/>
        </w:rPr>
        <w:t>;</w:t>
      </w:r>
      <w:proofErr w:type="gramEnd"/>
      <w:r w:rsidRPr="00B0498D">
        <w:rPr>
          <w:sz w:val="24"/>
          <w:szCs w:val="24"/>
          <w:lang w:eastAsia="sl-SI"/>
        </w:rPr>
        <w:t xml:space="preserve"> New York: Routledge.</w:t>
      </w:r>
    </w:p>
    <w:p w:rsidR="001C7C20" w:rsidRPr="00B0498D" w:rsidRDefault="001C7C20" w:rsidP="005E75FA">
      <w:pPr>
        <w:spacing w:after="120" w:line="360" w:lineRule="auto"/>
        <w:jc w:val="left"/>
        <w:rPr>
          <w:sz w:val="24"/>
          <w:szCs w:val="24"/>
          <w:lang w:eastAsia="sl-SI"/>
        </w:rPr>
      </w:pPr>
    </w:p>
    <w:p w:rsidR="001C7C20" w:rsidRPr="00B0498D" w:rsidRDefault="001C7C20" w:rsidP="005E75FA">
      <w:pPr>
        <w:spacing w:after="120" w:line="360" w:lineRule="auto"/>
        <w:jc w:val="left"/>
        <w:rPr>
          <w:b/>
          <w:sz w:val="24"/>
          <w:szCs w:val="24"/>
          <w:lang w:eastAsia="sl-SI"/>
        </w:rPr>
      </w:pPr>
      <w:r w:rsidRPr="00B0498D">
        <w:rPr>
          <w:b/>
          <w:sz w:val="24"/>
          <w:szCs w:val="24"/>
          <w:lang w:eastAsia="sl-SI"/>
        </w:rPr>
        <w:t>Journal articles</w:t>
      </w:r>
    </w:p>
    <w:p w:rsidR="001C7C20" w:rsidRPr="00B0498D" w:rsidRDefault="001C7C20" w:rsidP="005E75FA">
      <w:pPr>
        <w:spacing w:after="120"/>
        <w:ind w:left="142" w:hanging="142"/>
        <w:jc w:val="left"/>
        <w:rPr>
          <w:color w:val="000000"/>
          <w:sz w:val="24"/>
          <w:szCs w:val="24"/>
          <w:shd w:val="clear" w:color="auto" w:fill="FFFFFF"/>
        </w:rPr>
      </w:pPr>
      <w:proofErr w:type="spellStart"/>
      <w:r w:rsidRPr="00B0498D">
        <w:rPr>
          <w:color w:val="000000"/>
          <w:sz w:val="24"/>
          <w:szCs w:val="24"/>
          <w:shd w:val="clear" w:color="auto" w:fill="FFFFFF"/>
        </w:rPr>
        <w:t>Hebous</w:t>
      </w:r>
      <w:proofErr w:type="spellEnd"/>
      <w:r w:rsidRPr="00B0498D">
        <w:rPr>
          <w:color w:val="000000"/>
          <w:sz w:val="24"/>
          <w:szCs w:val="24"/>
          <w:shd w:val="clear" w:color="auto" w:fill="FFFFFF"/>
        </w:rPr>
        <w:t>, S., 2011. The effects of discretionary fiscal policy on macroeconomic aggregates: A reappraisal.</w:t>
      </w:r>
      <w:r w:rsidRPr="00B0498D">
        <w:rPr>
          <w:rStyle w:val="apple-converted-space"/>
          <w:color w:val="000000"/>
          <w:sz w:val="24"/>
          <w:szCs w:val="24"/>
          <w:shd w:val="clear" w:color="auto" w:fill="FFFFFF"/>
        </w:rPr>
        <w:t xml:space="preserve"> </w:t>
      </w:r>
      <w:r w:rsidRPr="00B0498D">
        <w:rPr>
          <w:i/>
          <w:iCs/>
          <w:color w:val="000000"/>
          <w:sz w:val="24"/>
          <w:szCs w:val="24"/>
          <w:shd w:val="clear" w:color="auto" w:fill="FFFFFF"/>
        </w:rPr>
        <w:t>Journal of Economic Surveys</w:t>
      </w:r>
      <w:r w:rsidRPr="00B0498D">
        <w:rPr>
          <w:color w:val="000000"/>
          <w:sz w:val="24"/>
          <w:szCs w:val="24"/>
          <w:shd w:val="clear" w:color="auto" w:fill="FFFFFF"/>
        </w:rPr>
        <w:t>, 25(4), pp. 674-707.</w:t>
      </w:r>
    </w:p>
    <w:p w:rsidR="001C7C20" w:rsidRPr="00B0498D" w:rsidRDefault="001C7C20" w:rsidP="005E75FA">
      <w:pPr>
        <w:spacing w:after="120"/>
        <w:ind w:left="142" w:hanging="142"/>
        <w:jc w:val="left"/>
        <w:rPr>
          <w:color w:val="000000"/>
          <w:sz w:val="24"/>
          <w:szCs w:val="24"/>
          <w:shd w:val="clear" w:color="auto" w:fill="FFFFFF"/>
        </w:rPr>
      </w:pPr>
      <w:r w:rsidRPr="00B0498D">
        <w:rPr>
          <w:color w:val="000000"/>
          <w:sz w:val="24"/>
          <w:szCs w:val="24"/>
          <w:shd w:val="clear" w:color="auto" w:fill="FFFFFF"/>
        </w:rPr>
        <w:t xml:space="preserve">McNally, R.J. and </w:t>
      </w:r>
      <w:proofErr w:type="spellStart"/>
      <w:r w:rsidRPr="00B0498D">
        <w:rPr>
          <w:color w:val="000000"/>
          <w:sz w:val="24"/>
          <w:szCs w:val="24"/>
          <w:shd w:val="clear" w:color="auto" w:fill="FFFFFF"/>
        </w:rPr>
        <w:t>Frueh</w:t>
      </w:r>
      <w:proofErr w:type="spellEnd"/>
      <w:r w:rsidRPr="00B0498D">
        <w:rPr>
          <w:color w:val="000000"/>
          <w:sz w:val="24"/>
          <w:szCs w:val="24"/>
          <w:shd w:val="clear" w:color="auto" w:fill="FFFFFF"/>
        </w:rPr>
        <w:t>, B.C., 2013. Why are Iraq and Afghanistan War veterans seeking PTSD disability compensation at unprecedented rates? </w:t>
      </w:r>
      <w:r w:rsidRPr="00B0498D">
        <w:rPr>
          <w:i/>
          <w:iCs/>
          <w:color w:val="000000"/>
          <w:sz w:val="24"/>
          <w:szCs w:val="24"/>
          <w:shd w:val="clear" w:color="auto" w:fill="FFFFFF"/>
        </w:rPr>
        <w:t>Journal of Anxiety Disorders</w:t>
      </w:r>
      <w:r w:rsidRPr="00B0498D">
        <w:rPr>
          <w:color w:val="000000"/>
          <w:sz w:val="24"/>
          <w:szCs w:val="24"/>
          <w:shd w:val="clear" w:color="auto" w:fill="FFFFFF"/>
        </w:rPr>
        <w:t>, 27(5), pp. 520-526</w:t>
      </w:r>
      <w:r w:rsidR="00E13E49" w:rsidRPr="00B0498D">
        <w:rPr>
          <w:rStyle w:val="Hyperlink"/>
          <w:color w:val="A43321"/>
          <w:sz w:val="24"/>
          <w:szCs w:val="24"/>
          <w:shd w:val="clear" w:color="auto" w:fill="FFFFFF"/>
        </w:rPr>
        <w:t>.</w:t>
      </w:r>
    </w:p>
    <w:p w:rsidR="001C7C20" w:rsidRPr="00B0498D" w:rsidRDefault="001C7C20" w:rsidP="005E75FA">
      <w:pPr>
        <w:spacing w:after="120" w:line="360" w:lineRule="auto"/>
        <w:ind w:left="142" w:hanging="142"/>
        <w:jc w:val="left"/>
        <w:rPr>
          <w:color w:val="000000"/>
          <w:sz w:val="24"/>
          <w:szCs w:val="24"/>
          <w:shd w:val="clear" w:color="auto" w:fill="FFFFFF"/>
        </w:rPr>
      </w:pPr>
    </w:p>
    <w:p w:rsidR="001C7C20" w:rsidRPr="00B0498D" w:rsidRDefault="001C7C20" w:rsidP="005E75FA">
      <w:pPr>
        <w:spacing w:after="120" w:line="360" w:lineRule="auto"/>
        <w:ind w:left="142" w:hanging="142"/>
        <w:jc w:val="left"/>
        <w:rPr>
          <w:b/>
          <w:color w:val="000000"/>
          <w:sz w:val="24"/>
          <w:szCs w:val="24"/>
          <w:shd w:val="clear" w:color="auto" w:fill="FFFFFF"/>
        </w:rPr>
      </w:pPr>
      <w:r w:rsidRPr="00B0498D">
        <w:rPr>
          <w:b/>
          <w:color w:val="000000"/>
          <w:sz w:val="24"/>
          <w:szCs w:val="24"/>
          <w:shd w:val="clear" w:color="auto" w:fill="FFFFFF"/>
        </w:rPr>
        <w:t>Electronic sources</w:t>
      </w:r>
    </w:p>
    <w:p w:rsidR="00755BE3" w:rsidRPr="00B0498D" w:rsidRDefault="00755BE3" w:rsidP="005E75FA">
      <w:pPr>
        <w:spacing w:after="120"/>
        <w:ind w:left="142" w:hanging="142"/>
        <w:jc w:val="left"/>
        <w:rPr>
          <w:sz w:val="24"/>
          <w:szCs w:val="24"/>
        </w:rPr>
      </w:pPr>
      <w:r w:rsidRPr="002C04A8">
        <w:rPr>
          <w:color w:val="000000"/>
          <w:sz w:val="24"/>
          <w:szCs w:val="24"/>
          <w:shd w:val="clear" w:color="auto" w:fill="FFFFFF"/>
          <w:lang w:val="de-DE"/>
        </w:rPr>
        <w:t>Federal Statistical Office, 2016. Nettozuwanderung von Ausländerinnen und Ausländern im Jahr 2015 bei 1,1 Millionen.</w:t>
      </w:r>
      <w:r w:rsidR="00FB27FB" w:rsidRPr="002C04A8">
        <w:rPr>
          <w:color w:val="000000"/>
          <w:sz w:val="24"/>
          <w:szCs w:val="24"/>
          <w:shd w:val="clear" w:color="auto" w:fill="FFFFFF"/>
          <w:lang w:val="de-DE"/>
        </w:rPr>
        <w:t xml:space="preserve"> </w:t>
      </w:r>
      <w:r w:rsidRPr="00B0498D">
        <w:rPr>
          <w:i/>
          <w:iCs/>
          <w:color w:val="000000"/>
          <w:sz w:val="24"/>
          <w:szCs w:val="24"/>
          <w:shd w:val="clear" w:color="auto" w:fill="FFFFFF"/>
        </w:rPr>
        <w:t>Press release</w:t>
      </w:r>
      <w:r w:rsidRPr="00B0498D">
        <w:rPr>
          <w:sz w:val="24"/>
          <w:szCs w:val="24"/>
          <w:shd w:val="clear" w:color="auto" w:fill="FFFFFF"/>
        </w:rPr>
        <w:t>, No. 105</w:t>
      </w:r>
      <w:r w:rsidRPr="00B0498D">
        <w:rPr>
          <w:color w:val="000000"/>
          <w:sz w:val="24"/>
          <w:szCs w:val="24"/>
          <w:shd w:val="clear" w:color="auto" w:fill="FFFFFF"/>
        </w:rPr>
        <w:t xml:space="preserve">. Available at: </w:t>
      </w:r>
      <w:hyperlink r:id="rId17" w:history="1">
        <w:r w:rsidRPr="00B0498D">
          <w:rPr>
            <w:rStyle w:val="Hyperlink"/>
            <w:sz w:val="24"/>
            <w:szCs w:val="24"/>
            <w:shd w:val="clear" w:color="auto" w:fill="FFFFFF"/>
          </w:rPr>
          <w:t>https://www.destatis.de/DE/PresseService/Presse/Pressemitteilungen/2016/03/PD16_105_12421.html</w:t>
        </w:r>
      </w:hyperlink>
      <w:r w:rsidRPr="00B0498D">
        <w:rPr>
          <w:color w:val="000000"/>
          <w:sz w:val="24"/>
          <w:szCs w:val="24"/>
          <w:shd w:val="clear" w:color="auto" w:fill="FFFFFF"/>
        </w:rPr>
        <w:t xml:space="preserve"> </w:t>
      </w:r>
      <w:r w:rsidR="00856416" w:rsidRPr="00B0498D">
        <w:rPr>
          <w:color w:val="000000"/>
          <w:sz w:val="24"/>
          <w:szCs w:val="24"/>
          <w:shd w:val="clear" w:color="auto" w:fill="FFFFFF"/>
        </w:rPr>
        <w:t>[Accessed January 17, 2017]</w:t>
      </w:r>
    </w:p>
    <w:p w:rsidR="00755BE3" w:rsidRPr="00B0498D" w:rsidRDefault="00755BE3" w:rsidP="005E75FA">
      <w:pPr>
        <w:spacing w:after="120"/>
        <w:ind w:left="142" w:hanging="142"/>
        <w:jc w:val="left"/>
        <w:rPr>
          <w:color w:val="000000"/>
          <w:sz w:val="24"/>
          <w:szCs w:val="24"/>
          <w:shd w:val="clear" w:color="auto" w:fill="FFFFFF"/>
        </w:rPr>
      </w:pPr>
      <w:r w:rsidRPr="00B0498D">
        <w:rPr>
          <w:color w:val="000000"/>
          <w:sz w:val="24"/>
          <w:szCs w:val="24"/>
          <w:shd w:val="clear" w:color="auto" w:fill="FFFFFF"/>
        </w:rPr>
        <w:t xml:space="preserve">WHO, 2016. </w:t>
      </w:r>
      <w:r w:rsidRPr="00B0498D">
        <w:rPr>
          <w:i/>
          <w:iCs/>
          <w:sz w:val="24"/>
          <w:szCs w:val="24"/>
          <w:shd w:val="clear" w:color="auto" w:fill="FFFFFF"/>
        </w:rPr>
        <w:t>European Health for All Database (HFA-DB)</w:t>
      </w:r>
      <w:r w:rsidRPr="00B0498D">
        <w:rPr>
          <w:i/>
          <w:iCs/>
          <w:color w:val="000000"/>
          <w:sz w:val="24"/>
          <w:szCs w:val="24"/>
          <w:shd w:val="clear" w:color="auto" w:fill="FFFFFF"/>
        </w:rPr>
        <w:t>.</w:t>
      </w:r>
      <w:r w:rsidRPr="00B0498D">
        <w:rPr>
          <w:rStyle w:val="apple-converted-space"/>
          <w:i/>
          <w:iCs/>
          <w:color w:val="000000"/>
          <w:sz w:val="24"/>
          <w:szCs w:val="24"/>
          <w:shd w:val="clear" w:color="auto" w:fill="FFFFFF"/>
        </w:rPr>
        <w:t xml:space="preserve"> </w:t>
      </w:r>
      <w:r w:rsidRPr="00B0498D">
        <w:rPr>
          <w:color w:val="000000"/>
          <w:sz w:val="24"/>
          <w:szCs w:val="24"/>
          <w:shd w:val="clear" w:color="auto" w:fill="FFFFFF"/>
        </w:rPr>
        <w:t xml:space="preserve">World Health Organization. Available at: </w:t>
      </w:r>
      <w:hyperlink r:id="rId18" w:history="1">
        <w:r w:rsidRPr="00B0498D">
          <w:rPr>
            <w:rStyle w:val="Hyperlink"/>
            <w:sz w:val="24"/>
            <w:szCs w:val="24"/>
            <w:shd w:val="clear" w:color="auto" w:fill="FFFFFF"/>
          </w:rPr>
          <w:t>http://data.euro.who.int/hfadb/</w:t>
        </w:r>
      </w:hyperlink>
      <w:r w:rsidRPr="00B0498D">
        <w:rPr>
          <w:color w:val="000000"/>
          <w:sz w:val="24"/>
          <w:szCs w:val="24"/>
          <w:shd w:val="clear" w:color="auto" w:fill="FFFFFF"/>
        </w:rPr>
        <w:t xml:space="preserve"> </w:t>
      </w:r>
    </w:p>
    <w:sectPr w:rsidR="00755BE3" w:rsidRPr="00B0498D" w:rsidSect="00392FC4">
      <w:headerReference w:type="even" r:id="rId19"/>
      <w:footerReference w:type="default" r:id="rId20"/>
      <w:headerReference w:type="firs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15F" w:rsidRDefault="0047615F" w:rsidP="0002674A">
      <w:r>
        <w:separator/>
      </w:r>
    </w:p>
  </w:endnote>
  <w:endnote w:type="continuationSeparator" w:id="0">
    <w:p w:rsidR="0047615F" w:rsidRDefault="0047615F" w:rsidP="0002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rlene Reg">
    <w:panose1 w:val="02000000000000000000"/>
    <w:charset w:val="00"/>
    <w:family w:val="modern"/>
    <w:notTrueType/>
    <w:pitch w:val="variable"/>
    <w:sig w:usb0="A00000BF" w:usb1="5001E47B" w:usb2="00000000" w:usb3="00000000" w:csb0="000001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A76" w:rsidRDefault="002D4A76" w:rsidP="002D4A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15F" w:rsidRDefault="0047615F" w:rsidP="0002674A">
      <w:r>
        <w:separator/>
      </w:r>
    </w:p>
  </w:footnote>
  <w:footnote w:type="continuationSeparator" w:id="0">
    <w:p w:rsidR="0047615F" w:rsidRDefault="0047615F" w:rsidP="0002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DB4" w:rsidRDefault="0047615F" w:rsidP="0002674A">
    <w:pPr>
      <w:pStyle w:val="Heade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616094" o:spid="_x0000_s2059" type="#_x0000_t75" style="position:absolute;left:0;text-align:left;margin-left:0;margin-top:0;width:595.15pt;height:841.8pt;z-index:-251656704;mso-position-horizontal:center;mso-position-horizontal-relative:margin;mso-position-vertical:center;mso-position-vertical-relative:margin" o:allowincell="f">
          <v:imagedata r:id="rId1" o:title="glava"/>
          <w10:wrap anchorx="margin" anchory="margin"/>
        </v:shape>
      </w:pict>
    </w:r>
    <w:r>
      <w:rPr>
        <w:noProof/>
        <w:lang w:val="sl-SI" w:eastAsia="sl-SI"/>
      </w:rPr>
      <w:pict>
        <v:shape id="WordPictureWatermark411942001" o:spid="_x0000_s2056" type="#_x0000_t75" style="position:absolute;left:0;text-align:left;margin-left:0;margin-top:0;width:595.15pt;height:841.8pt;z-index:-251658752;mso-position-horizontal:center;mso-position-horizontal-relative:margin;mso-position-vertical:center;mso-position-vertical-relative:margin" o:allowincell="f">
          <v:imagedata r:id="rId2" o:title="glava"/>
          <w10:wrap anchorx="margin" anchory="margin"/>
        </v:shape>
      </w:pict>
    </w:r>
    <w:r>
      <w:rPr>
        <w:noProof/>
        <w:lang w:eastAsia="sl-SI"/>
      </w:rPr>
      <w:pict>
        <v:shape id="WordPictureWatermark1696173313" o:spid="_x0000_s2053" type="#_x0000_t75" style="position:absolute;left:0;text-align:left;margin-left:0;margin-top:0;width:595.15pt;height:841.8pt;z-index:-251660800;mso-position-horizontal:center;mso-position-horizontal-relative:margin;mso-position-vertical:center;mso-position-vertical-relative:margin" o:allowincell="f">
          <v:imagedata r:id="rId3" o:title="gla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2F" w:rsidRPr="00617154" w:rsidRDefault="00B04F2F" w:rsidP="00B04F2F">
    <w:pPr>
      <w:jc w:val="center"/>
      <w:rPr>
        <w:rFonts w:ascii="Marlene Reg" w:hAnsi="Marlene Reg"/>
        <w:smallCaps/>
        <w:color w:val="595959"/>
      </w:rPr>
    </w:pPr>
    <w:r w:rsidRPr="00617154">
      <w:rPr>
        <w:rFonts w:ascii="Marlene Reg" w:hAnsi="Marlene Reg"/>
        <w:smallCaps/>
        <w:color w:val="595959"/>
      </w:rPr>
      <w:t>conference</w:t>
    </w:r>
  </w:p>
  <w:p w:rsidR="00B04F2F" w:rsidRPr="002E2423" w:rsidRDefault="00B04F2F" w:rsidP="00B04F2F">
    <w:pPr>
      <w:jc w:val="center"/>
      <w:rPr>
        <w:rFonts w:ascii="Marlene Reg" w:hAnsi="Marlene Reg"/>
        <w:b/>
        <w:smallCaps/>
        <w:color w:val="C00000"/>
        <w:sz w:val="28"/>
        <w:szCs w:val="28"/>
      </w:rPr>
    </w:pPr>
    <w:r w:rsidRPr="002E2423">
      <w:rPr>
        <w:rFonts w:ascii="Marlene Reg" w:hAnsi="Marlene Reg"/>
        <w:b/>
        <w:smallCaps/>
        <w:color w:val="C00000"/>
        <w:sz w:val="28"/>
        <w:szCs w:val="28"/>
      </w:rPr>
      <w:t>Public Sector Economics</w:t>
    </w:r>
  </w:p>
  <w:p w:rsidR="00B04F2F" w:rsidRDefault="00B04F2F" w:rsidP="00B04F2F">
    <w:pPr>
      <w:pStyle w:val="Header"/>
      <w:ind w:firstLine="3119"/>
    </w:pPr>
    <w:r w:rsidRPr="00617154">
      <w:rPr>
        <w:rFonts w:ascii="Marlene Reg" w:hAnsi="Marlene Reg"/>
        <w:smallCaps/>
        <w:color w:val="595959"/>
        <w:sz w:val="20"/>
        <w:szCs w:val="20"/>
      </w:rPr>
      <w:t>October 14-15, 2016, Zagreb, Croatia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714"/>
    <w:multiLevelType w:val="multilevel"/>
    <w:tmpl w:val="15C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B7B2F"/>
    <w:multiLevelType w:val="multilevel"/>
    <w:tmpl w:val="1B701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B4"/>
    <w:rsid w:val="00012256"/>
    <w:rsid w:val="000126DC"/>
    <w:rsid w:val="00021B8F"/>
    <w:rsid w:val="0002639B"/>
    <w:rsid w:val="0002674A"/>
    <w:rsid w:val="00034DE9"/>
    <w:rsid w:val="00051C8D"/>
    <w:rsid w:val="00076CDB"/>
    <w:rsid w:val="00081833"/>
    <w:rsid w:val="000D6499"/>
    <w:rsid w:val="000D755D"/>
    <w:rsid w:val="000E2147"/>
    <w:rsid w:val="000F71B3"/>
    <w:rsid w:val="00124350"/>
    <w:rsid w:val="00126529"/>
    <w:rsid w:val="00137D75"/>
    <w:rsid w:val="001547CA"/>
    <w:rsid w:val="0019211C"/>
    <w:rsid w:val="001A3046"/>
    <w:rsid w:val="001A79B3"/>
    <w:rsid w:val="001B1389"/>
    <w:rsid w:val="001B5BEC"/>
    <w:rsid w:val="001C0021"/>
    <w:rsid w:val="001C2B86"/>
    <w:rsid w:val="001C7C20"/>
    <w:rsid w:val="001D7D30"/>
    <w:rsid w:val="001F3C05"/>
    <w:rsid w:val="00204CA1"/>
    <w:rsid w:val="00247DB4"/>
    <w:rsid w:val="00262861"/>
    <w:rsid w:val="002A0699"/>
    <w:rsid w:val="002B09F1"/>
    <w:rsid w:val="002B4D2E"/>
    <w:rsid w:val="002B694E"/>
    <w:rsid w:val="002C04A8"/>
    <w:rsid w:val="002C1FC8"/>
    <w:rsid w:val="002C4AB4"/>
    <w:rsid w:val="002D0CE8"/>
    <w:rsid w:val="002D4A76"/>
    <w:rsid w:val="00307FBF"/>
    <w:rsid w:val="00317AF0"/>
    <w:rsid w:val="003211A7"/>
    <w:rsid w:val="003242A6"/>
    <w:rsid w:val="003359FB"/>
    <w:rsid w:val="0033683C"/>
    <w:rsid w:val="0036397B"/>
    <w:rsid w:val="00392B45"/>
    <w:rsid w:val="00392FC4"/>
    <w:rsid w:val="0039534E"/>
    <w:rsid w:val="003964B1"/>
    <w:rsid w:val="003F44CA"/>
    <w:rsid w:val="003F7769"/>
    <w:rsid w:val="00404080"/>
    <w:rsid w:val="0043067F"/>
    <w:rsid w:val="004310F4"/>
    <w:rsid w:val="0047615F"/>
    <w:rsid w:val="004833A0"/>
    <w:rsid w:val="00485FB5"/>
    <w:rsid w:val="00487B6E"/>
    <w:rsid w:val="004A015D"/>
    <w:rsid w:val="004C74AD"/>
    <w:rsid w:val="004E4888"/>
    <w:rsid w:val="004F6452"/>
    <w:rsid w:val="0053184A"/>
    <w:rsid w:val="00562B83"/>
    <w:rsid w:val="00581744"/>
    <w:rsid w:val="005875B0"/>
    <w:rsid w:val="005A0218"/>
    <w:rsid w:val="005B11E9"/>
    <w:rsid w:val="005E1D8D"/>
    <w:rsid w:val="005E75FA"/>
    <w:rsid w:val="00601EFB"/>
    <w:rsid w:val="00617154"/>
    <w:rsid w:val="00632429"/>
    <w:rsid w:val="006612F5"/>
    <w:rsid w:val="00666142"/>
    <w:rsid w:val="00681566"/>
    <w:rsid w:val="00695FE1"/>
    <w:rsid w:val="006C41E4"/>
    <w:rsid w:val="006C72A1"/>
    <w:rsid w:val="006D490E"/>
    <w:rsid w:val="00707149"/>
    <w:rsid w:val="007110F9"/>
    <w:rsid w:val="007402AC"/>
    <w:rsid w:val="0074286E"/>
    <w:rsid w:val="0075302A"/>
    <w:rsid w:val="00755BE3"/>
    <w:rsid w:val="007D59F6"/>
    <w:rsid w:val="007E65EC"/>
    <w:rsid w:val="00802437"/>
    <w:rsid w:val="008110BB"/>
    <w:rsid w:val="0083648B"/>
    <w:rsid w:val="00842D69"/>
    <w:rsid w:val="00855997"/>
    <w:rsid w:val="00856416"/>
    <w:rsid w:val="00873927"/>
    <w:rsid w:val="00875F53"/>
    <w:rsid w:val="00893776"/>
    <w:rsid w:val="008B24FD"/>
    <w:rsid w:val="008B5439"/>
    <w:rsid w:val="008C58EE"/>
    <w:rsid w:val="008F168D"/>
    <w:rsid w:val="00903DAD"/>
    <w:rsid w:val="009778E7"/>
    <w:rsid w:val="00980B21"/>
    <w:rsid w:val="00996084"/>
    <w:rsid w:val="009C2582"/>
    <w:rsid w:val="009C46BF"/>
    <w:rsid w:val="009D528D"/>
    <w:rsid w:val="009F07B5"/>
    <w:rsid w:val="009F2854"/>
    <w:rsid w:val="00A00A71"/>
    <w:rsid w:val="00A27FB3"/>
    <w:rsid w:val="00A35855"/>
    <w:rsid w:val="00A36207"/>
    <w:rsid w:val="00A426DB"/>
    <w:rsid w:val="00A50733"/>
    <w:rsid w:val="00A643C6"/>
    <w:rsid w:val="00A8106E"/>
    <w:rsid w:val="00A85521"/>
    <w:rsid w:val="00AA1619"/>
    <w:rsid w:val="00AB72CB"/>
    <w:rsid w:val="00AC6480"/>
    <w:rsid w:val="00AD7C32"/>
    <w:rsid w:val="00AF4D41"/>
    <w:rsid w:val="00AF51C4"/>
    <w:rsid w:val="00B00C9A"/>
    <w:rsid w:val="00B0387E"/>
    <w:rsid w:val="00B0498D"/>
    <w:rsid w:val="00B04F2F"/>
    <w:rsid w:val="00B225E4"/>
    <w:rsid w:val="00B3604B"/>
    <w:rsid w:val="00B462CB"/>
    <w:rsid w:val="00B464E4"/>
    <w:rsid w:val="00B56880"/>
    <w:rsid w:val="00B71605"/>
    <w:rsid w:val="00B72C66"/>
    <w:rsid w:val="00BB46C5"/>
    <w:rsid w:val="00BB525C"/>
    <w:rsid w:val="00BD5477"/>
    <w:rsid w:val="00BD777E"/>
    <w:rsid w:val="00C23016"/>
    <w:rsid w:val="00C34AE4"/>
    <w:rsid w:val="00C40245"/>
    <w:rsid w:val="00C61D87"/>
    <w:rsid w:val="00C80AD2"/>
    <w:rsid w:val="00CA1B7A"/>
    <w:rsid w:val="00CB2D17"/>
    <w:rsid w:val="00CB58C7"/>
    <w:rsid w:val="00CE1238"/>
    <w:rsid w:val="00D103DE"/>
    <w:rsid w:val="00D142A3"/>
    <w:rsid w:val="00D31F2C"/>
    <w:rsid w:val="00D36FB3"/>
    <w:rsid w:val="00D43539"/>
    <w:rsid w:val="00D62836"/>
    <w:rsid w:val="00D645E8"/>
    <w:rsid w:val="00D90A86"/>
    <w:rsid w:val="00DC6DED"/>
    <w:rsid w:val="00DD4CA1"/>
    <w:rsid w:val="00DE2D2D"/>
    <w:rsid w:val="00DE46F7"/>
    <w:rsid w:val="00DF4DA6"/>
    <w:rsid w:val="00E00E36"/>
    <w:rsid w:val="00E034F9"/>
    <w:rsid w:val="00E13E49"/>
    <w:rsid w:val="00E32240"/>
    <w:rsid w:val="00E510C2"/>
    <w:rsid w:val="00E52981"/>
    <w:rsid w:val="00E62D19"/>
    <w:rsid w:val="00E8649B"/>
    <w:rsid w:val="00EA7836"/>
    <w:rsid w:val="00EC657D"/>
    <w:rsid w:val="00EF4571"/>
    <w:rsid w:val="00F046A4"/>
    <w:rsid w:val="00F05CD1"/>
    <w:rsid w:val="00F121D1"/>
    <w:rsid w:val="00F325D9"/>
    <w:rsid w:val="00F46B8A"/>
    <w:rsid w:val="00F5245D"/>
    <w:rsid w:val="00F5349C"/>
    <w:rsid w:val="00F565BA"/>
    <w:rsid w:val="00F6072F"/>
    <w:rsid w:val="00FB27FB"/>
    <w:rsid w:val="00FB6B83"/>
    <w:rsid w:val="00FC1C4F"/>
    <w:rsid w:val="00FD2FF0"/>
    <w:rsid w:val="00FE14C4"/>
    <w:rsid w:val="00FE445C"/>
    <w:rsid w:val="00FF4C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363F204"/>
  <w15:docId w15:val="{26551D4B-7D29-452B-A77D-68908360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74A"/>
    <w:pPr>
      <w:jc w:val="both"/>
    </w:pPr>
    <w:rPr>
      <w:rFonts w:ascii="Times New Roman" w:hAnsi="Times New Roman"/>
      <w:sz w:val="22"/>
      <w:szCs w:val="22"/>
      <w:lang w:val="en-GB" w:eastAsia="en-US"/>
    </w:rPr>
  </w:style>
  <w:style w:type="paragraph" w:styleId="Heading1">
    <w:name w:val="heading 1"/>
    <w:basedOn w:val="Normal"/>
    <w:next w:val="Normal"/>
    <w:link w:val="Heading1Char"/>
    <w:uiPriority w:val="9"/>
    <w:qFormat/>
    <w:rsid w:val="005A0218"/>
    <w:pPr>
      <w:keepNext/>
      <w:keepLines/>
      <w:jc w:val="center"/>
      <w:outlineLvl w:val="0"/>
    </w:pPr>
    <w:rPr>
      <w:rFonts w:eastAsia="Times New Roman"/>
      <w:b/>
      <w:bCs/>
      <w:sz w:val="30"/>
      <w:szCs w:val="30"/>
    </w:rPr>
  </w:style>
  <w:style w:type="paragraph" w:styleId="Heading2">
    <w:name w:val="heading 2"/>
    <w:basedOn w:val="Normal"/>
    <w:next w:val="Normal"/>
    <w:link w:val="Heading2Char"/>
    <w:uiPriority w:val="9"/>
    <w:unhideWhenUsed/>
    <w:qFormat/>
    <w:rsid w:val="005A0218"/>
    <w:pPr>
      <w:keepNext/>
      <w:keepLines/>
      <w:spacing w:before="200"/>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DB4"/>
    <w:pPr>
      <w:tabs>
        <w:tab w:val="center" w:pos="4536"/>
        <w:tab w:val="right" w:pos="9072"/>
      </w:tabs>
    </w:pPr>
  </w:style>
  <w:style w:type="character" w:customStyle="1" w:styleId="HeaderChar">
    <w:name w:val="Header Char"/>
    <w:basedOn w:val="DefaultParagraphFont"/>
    <w:link w:val="Header"/>
    <w:uiPriority w:val="99"/>
    <w:rsid w:val="00247DB4"/>
  </w:style>
  <w:style w:type="paragraph" w:styleId="Footer">
    <w:name w:val="footer"/>
    <w:basedOn w:val="Normal"/>
    <w:link w:val="FooterChar"/>
    <w:uiPriority w:val="99"/>
    <w:unhideWhenUsed/>
    <w:rsid w:val="00247DB4"/>
    <w:pPr>
      <w:tabs>
        <w:tab w:val="center" w:pos="4536"/>
        <w:tab w:val="right" w:pos="9072"/>
      </w:tabs>
    </w:pPr>
  </w:style>
  <w:style w:type="character" w:customStyle="1" w:styleId="FooterChar">
    <w:name w:val="Footer Char"/>
    <w:basedOn w:val="DefaultParagraphFont"/>
    <w:link w:val="Footer"/>
    <w:uiPriority w:val="99"/>
    <w:rsid w:val="00247DB4"/>
  </w:style>
  <w:style w:type="paragraph" w:styleId="NormalWeb">
    <w:name w:val="Normal (Web)"/>
    <w:basedOn w:val="Normal"/>
    <w:uiPriority w:val="99"/>
    <w:unhideWhenUsed/>
    <w:rsid w:val="002C4AB4"/>
    <w:pPr>
      <w:spacing w:before="100" w:beforeAutospacing="1" w:after="100" w:afterAutospacing="1"/>
    </w:pPr>
    <w:rPr>
      <w:rFonts w:eastAsia="Times New Roman"/>
      <w:sz w:val="24"/>
      <w:szCs w:val="24"/>
      <w:lang w:eastAsia="sl-SI"/>
    </w:rPr>
  </w:style>
  <w:style w:type="character" w:customStyle="1" w:styleId="Heading1Char">
    <w:name w:val="Heading 1 Char"/>
    <w:basedOn w:val="DefaultParagraphFont"/>
    <w:link w:val="Heading1"/>
    <w:uiPriority w:val="9"/>
    <w:rsid w:val="005A0218"/>
    <w:rPr>
      <w:rFonts w:ascii="Times New Roman" w:eastAsia="Times New Roman" w:hAnsi="Times New Roman" w:cs="Times New Roman"/>
      <w:b/>
      <w:bCs/>
      <w:sz w:val="30"/>
      <w:szCs w:val="30"/>
      <w:lang w:val="en-GB"/>
    </w:rPr>
  </w:style>
  <w:style w:type="character" w:customStyle="1" w:styleId="Heading2Char">
    <w:name w:val="Heading 2 Char"/>
    <w:basedOn w:val="DefaultParagraphFont"/>
    <w:link w:val="Heading2"/>
    <w:uiPriority w:val="9"/>
    <w:rsid w:val="005A0218"/>
    <w:rPr>
      <w:rFonts w:ascii="Times New Roman" w:eastAsia="Times New Roman" w:hAnsi="Times New Roman" w:cs="Times New Roman"/>
      <w:b/>
      <w:bCs/>
      <w:lang w:val="en-GB"/>
    </w:rPr>
  </w:style>
  <w:style w:type="character" w:styleId="Hyperlink">
    <w:name w:val="Hyperlink"/>
    <w:basedOn w:val="DefaultParagraphFont"/>
    <w:uiPriority w:val="99"/>
    <w:unhideWhenUsed/>
    <w:rsid w:val="005A0218"/>
    <w:rPr>
      <w:color w:val="0000FF"/>
      <w:u w:val="single"/>
    </w:rPr>
  </w:style>
  <w:style w:type="table" w:styleId="TableGrid">
    <w:name w:val="Table Grid"/>
    <w:basedOn w:val="TableNormal"/>
    <w:uiPriority w:val="59"/>
    <w:rsid w:val="001D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7D30"/>
  </w:style>
  <w:style w:type="character" w:styleId="Emphasis">
    <w:name w:val="Emphasis"/>
    <w:basedOn w:val="DefaultParagraphFont"/>
    <w:uiPriority w:val="20"/>
    <w:qFormat/>
    <w:rsid w:val="001D7D30"/>
    <w:rPr>
      <w:i/>
      <w:iCs/>
    </w:rPr>
  </w:style>
  <w:style w:type="paragraph" w:styleId="ListParagraph">
    <w:name w:val="List Paragraph"/>
    <w:basedOn w:val="Normal"/>
    <w:uiPriority w:val="34"/>
    <w:qFormat/>
    <w:rsid w:val="00AF4D41"/>
    <w:pPr>
      <w:ind w:left="720"/>
      <w:contextualSpacing/>
    </w:pPr>
  </w:style>
  <w:style w:type="paragraph" w:styleId="BalloonText">
    <w:name w:val="Balloon Text"/>
    <w:basedOn w:val="Normal"/>
    <w:link w:val="BalloonTextChar"/>
    <w:uiPriority w:val="99"/>
    <w:semiHidden/>
    <w:unhideWhenUsed/>
    <w:rsid w:val="00D3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2C"/>
    <w:rPr>
      <w:rFonts w:ascii="Segoe UI" w:hAnsi="Segoe UI" w:cs="Segoe UI"/>
      <w:sz w:val="18"/>
      <w:szCs w:val="18"/>
      <w:lang w:val="en-GB" w:eastAsia="en-US"/>
    </w:rPr>
  </w:style>
  <w:style w:type="character" w:styleId="FollowedHyperlink">
    <w:name w:val="FollowedHyperlink"/>
    <w:basedOn w:val="DefaultParagraphFont"/>
    <w:uiPriority w:val="99"/>
    <w:semiHidden/>
    <w:unhideWhenUsed/>
    <w:rsid w:val="00081833"/>
    <w:rPr>
      <w:color w:val="954F72" w:themeColor="followedHyperlink"/>
      <w:u w:val="single"/>
    </w:rPr>
  </w:style>
  <w:style w:type="character" w:styleId="CommentReference">
    <w:name w:val="annotation reference"/>
    <w:basedOn w:val="DefaultParagraphFont"/>
    <w:uiPriority w:val="99"/>
    <w:semiHidden/>
    <w:unhideWhenUsed/>
    <w:rsid w:val="00FB6B83"/>
    <w:rPr>
      <w:sz w:val="16"/>
      <w:szCs w:val="16"/>
    </w:rPr>
  </w:style>
  <w:style w:type="paragraph" w:styleId="CommentText">
    <w:name w:val="annotation text"/>
    <w:basedOn w:val="Normal"/>
    <w:link w:val="CommentTextChar"/>
    <w:uiPriority w:val="99"/>
    <w:semiHidden/>
    <w:unhideWhenUsed/>
    <w:rsid w:val="00FB6B83"/>
    <w:rPr>
      <w:sz w:val="20"/>
      <w:szCs w:val="20"/>
    </w:rPr>
  </w:style>
  <w:style w:type="character" w:customStyle="1" w:styleId="CommentTextChar">
    <w:name w:val="Comment Text Char"/>
    <w:basedOn w:val="DefaultParagraphFont"/>
    <w:link w:val="CommentText"/>
    <w:uiPriority w:val="99"/>
    <w:semiHidden/>
    <w:rsid w:val="00FB6B8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B6B83"/>
    <w:rPr>
      <w:b/>
      <w:bCs/>
    </w:rPr>
  </w:style>
  <w:style w:type="character" w:customStyle="1" w:styleId="CommentSubjectChar">
    <w:name w:val="Comment Subject Char"/>
    <w:basedOn w:val="CommentTextChar"/>
    <w:link w:val="CommentSubject"/>
    <w:uiPriority w:val="99"/>
    <w:semiHidden/>
    <w:rsid w:val="00FB6B83"/>
    <w:rPr>
      <w:rFonts w:ascii="Times New Roman" w:hAnsi="Times New Roman"/>
      <w:b/>
      <w:bCs/>
      <w:lang w:val="en-GB" w:eastAsia="en-US"/>
    </w:rPr>
  </w:style>
  <w:style w:type="paragraph" w:styleId="Revision">
    <w:name w:val="Revision"/>
    <w:hidden/>
    <w:uiPriority w:val="99"/>
    <w:semiHidden/>
    <w:rsid w:val="00FB6B83"/>
    <w:rPr>
      <w:rFonts w:ascii="Times New Roman" w:hAnsi="Times New Roman"/>
      <w:sz w:val="22"/>
      <w:szCs w:val="22"/>
      <w:lang w:val="en-GB" w:eastAsia="en-US"/>
    </w:rPr>
  </w:style>
  <w:style w:type="paragraph" w:customStyle="1" w:styleId="Acknowledgements">
    <w:name w:val="Acknowledgements"/>
    <w:basedOn w:val="Normal"/>
    <w:next w:val="Normal"/>
    <w:qFormat/>
    <w:rsid w:val="002A0699"/>
    <w:pPr>
      <w:spacing w:before="120" w:line="360" w:lineRule="auto"/>
      <w:jc w:val="left"/>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7095">
      <w:bodyDiv w:val="1"/>
      <w:marLeft w:val="0"/>
      <w:marRight w:val="0"/>
      <w:marTop w:val="0"/>
      <w:marBottom w:val="0"/>
      <w:divBdr>
        <w:top w:val="none" w:sz="0" w:space="0" w:color="auto"/>
        <w:left w:val="none" w:sz="0" w:space="0" w:color="auto"/>
        <w:bottom w:val="none" w:sz="0" w:space="0" w:color="auto"/>
        <w:right w:val="none" w:sz="0" w:space="0" w:color="auto"/>
      </w:divBdr>
    </w:div>
    <w:div w:id="116458572">
      <w:bodyDiv w:val="1"/>
      <w:marLeft w:val="0"/>
      <w:marRight w:val="0"/>
      <w:marTop w:val="0"/>
      <w:marBottom w:val="0"/>
      <w:divBdr>
        <w:top w:val="none" w:sz="0" w:space="0" w:color="auto"/>
        <w:left w:val="none" w:sz="0" w:space="0" w:color="auto"/>
        <w:bottom w:val="none" w:sz="0" w:space="0" w:color="auto"/>
        <w:right w:val="none" w:sz="0" w:space="0" w:color="auto"/>
      </w:divBdr>
    </w:div>
    <w:div w:id="210773587">
      <w:bodyDiv w:val="1"/>
      <w:marLeft w:val="0"/>
      <w:marRight w:val="0"/>
      <w:marTop w:val="0"/>
      <w:marBottom w:val="0"/>
      <w:divBdr>
        <w:top w:val="none" w:sz="0" w:space="0" w:color="auto"/>
        <w:left w:val="none" w:sz="0" w:space="0" w:color="auto"/>
        <w:bottom w:val="none" w:sz="0" w:space="0" w:color="auto"/>
        <w:right w:val="none" w:sz="0" w:space="0" w:color="auto"/>
      </w:divBdr>
      <w:divsChild>
        <w:div w:id="130280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398157">
      <w:bodyDiv w:val="1"/>
      <w:marLeft w:val="0"/>
      <w:marRight w:val="0"/>
      <w:marTop w:val="0"/>
      <w:marBottom w:val="0"/>
      <w:divBdr>
        <w:top w:val="none" w:sz="0" w:space="0" w:color="auto"/>
        <w:left w:val="none" w:sz="0" w:space="0" w:color="auto"/>
        <w:bottom w:val="none" w:sz="0" w:space="0" w:color="auto"/>
        <w:right w:val="none" w:sz="0" w:space="0" w:color="auto"/>
      </w:divBdr>
    </w:div>
    <w:div w:id="14079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 TargetMode="External"/><Relationship Id="rId13" Type="http://schemas.openxmlformats.org/officeDocument/2006/relationships/hyperlink" Target="https://orcid.org/" TargetMode="External"/><Relationship Id="rId18" Type="http://schemas.openxmlformats.org/officeDocument/2006/relationships/hyperlink" Target="http://data.euro.who.int/hfadb/"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ird.author@email" TargetMode="External"/><Relationship Id="rId17" Type="http://schemas.openxmlformats.org/officeDocument/2006/relationships/hyperlink" Target="https://www.destatis.de/DE/PresseService/Presse/Pressemitteilungen/2016/03/PD16_105_12421.html" TargetMode="External"/><Relationship Id="rId2" Type="http://schemas.openxmlformats.org/officeDocument/2006/relationships/numbering" Target="numbering.xml"/><Relationship Id="rId16" Type="http://schemas.openxmlformats.org/officeDocument/2006/relationships/hyperlink" Target="http://libweb.anglia.ac.uk/referencing/harvard.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mailto:second.author@ema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aeaweb.org/econlit/jelCodes.php?view=je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nekic\Documents\Marina\FTP\2016\FTP%201-2016\FINALNO%20(za%20tiskaru)\03a%20PRIMORAC%20-%20Copy%20of%20JamstvaFT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Jamstva!$A$124</c:f>
              <c:strCache>
                <c:ptCount val="1"/>
                <c:pt idx="0">
                  <c:v>Text 1</c:v>
                </c:pt>
              </c:strCache>
            </c:strRef>
          </c:tx>
          <c:spPr>
            <a:solidFill>
              <a:schemeClr val="bg1">
                <a:lumMod val="65000"/>
              </a:schemeClr>
            </a:solidFill>
            <a:ln>
              <a:noFill/>
            </a:ln>
          </c:spPr>
          <c:invertIfNegative val="0"/>
          <c:cat>
            <c:numRef>
              <c:f>Jamstva!$B$123:$H$123</c:f>
              <c:numCache>
                <c:formatCode>General</c:formatCode>
                <c:ptCount val="7"/>
                <c:pt idx="0">
                  <c:v>2009</c:v>
                </c:pt>
                <c:pt idx="1">
                  <c:v>2010</c:v>
                </c:pt>
                <c:pt idx="2">
                  <c:v>2011</c:v>
                </c:pt>
                <c:pt idx="3">
                  <c:v>2012</c:v>
                </c:pt>
                <c:pt idx="4">
                  <c:v>2013</c:v>
                </c:pt>
                <c:pt idx="5">
                  <c:v>2014</c:v>
                </c:pt>
                <c:pt idx="6">
                  <c:v>2015</c:v>
                </c:pt>
              </c:numCache>
            </c:numRef>
          </c:cat>
          <c:val>
            <c:numRef>
              <c:f>Jamstva!$B$124:$H$124</c:f>
              <c:numCache>
                <c:formatCode>#,##0.0</c:formatCode>
                <c:ptCount val="7"/>
                <c:pt idx="0">
                  <c:v>4.9000000000000004</c:v>
                </c:pt>
                <c:pt idx="1">
                  <c:v>4.9000000000000004</c:v>
                </c:pt>
                <c:pt idx="2">
                  <c:v>4.9000000000000004</c:v>
                </c:pt>
                <c:pt idx="3">
                  <c:v>4.5</c:v>
                </c:pt>
                <c:pt idx="4">
                  <c:v>4.5</c:v>
                </c:pt>
                <c:pt idx="5" formatCode="0.0">
                  <c:v>6</c:v>
                </c:pt>
                <c:pt idx="6" formatCode="0.0">
                  <c:v>6</c:v>
                </c:pt>
              </c:numCache>
            </c:numRef>
          </c:val>
          <c:extLst>
            <c:ext xmlns:c16="http://schemas.microsoft.com/office/drawing/2014/chart" uri="{C3380CC4-5D6E-409C-BE32-E72D297353CC}">
              <c16:uniqueId val="{00000000-C53C-434C-9FEC-33F717C190A2}"/>
            </c:ext>
          </c:extLst>
        </c:ser>
        <c:ser>
          <c:idx val="1"/>
          <c:order val="1"/>
          <c:tx>
            <c:strRef>
              <c:f>Jamstva!$A$125</c:f>
              <c:strCache>
                <c:ptCount val="1"/>
                <c:pt idx="0">
                  <c:v>Text 2</c:v>
                </c:pt>
              </c:strCache>
            </c:strRef>
          </c:tx>
          <c:spPr>
            <a:solidFill>
              <a:schemeClr val="tx1">
                <a:lumMod val="95000"/>
                <a:lumOff val="5000"/>
              </a:schemeClr>
            </a:solidFill>
            <a:ln>
              <a:noFill/>
            </a:ln>
          </c:spPr>
          <c:invertIfNegative val="0"/>
          <c:cat>
            <c:numRef>
              <c:f>Jamstva!$B$123:$H$123</c:f>
              <c:numCache>
                <c:formatCode>General</c:formatCode>
                <c:ptCount val="7"/>
                <c:pt idx="0">
                  <c:v>2009</c:v>
                </c:pt>
                <c:pt idx="1">
                  <c:v>2010</c:v>
                </c:pt>
                <c:pt idx="2">
                  <c:v>2011</c:v>
                </c:pt>
                <c:pt idx="3">
                  <c:v>2012</c:v>
                </c:pt>
                <c:pt idx="4">
                  <c:v>2013</c:v>
                </c:pt>
                <c:pt idx="5">
                  <c:v>2014</c:v>
                </c:pt>
                <c:pt idx="6">
                  <c:v>2015</c:v>
                </c:pt>
              </c:numCache>
            </c:numRef>
          </c:cat>
          <c:val>
            <c:numRef>
              <c:f>Jamstva!$B$125:$H$125</c:f>
              <c:numCache>
                <c:formatCode>#,##0.0</c:formatCode>
                <c:ptCount val="7"/>
                <c:pt idx="0">
                  <c:v>9.4</c:v>
                </c:pt>
                <c:pt idx="1">
                  <c:v>9.6</c:v>
                </c:pt>
                <c:pt idx="2">
                  <c:v>9.5</c:v>
                </c:pt>
                <c:pt idx="3">
                  <c:v>5.2</c:v>
                </c:pt>
                <c:pt idx="4">
                  <c:v>6</c:v>
                </c:pt>
                <c:pt idx="5" formatCode="0.0">
                  <c:v>12.4</c:v>
                </c:pt>
                <c:pt idx="6" formatCode="0.0">
                  <c:v>2.7</c:v>
                </c:pt>
              </c:numCache>
            </c:numRef>
          </c:val>
          <c:extLst>
            <c:ext xmlns:c16="http://schemas.microsoft.com/office/drawing/2014/chart" uri="{C3380CC4-5D6E-409C-BE32-E72D297353CC}">
              <c16:uniqueId val="{00000001-C53C-434C-9FEC-33F717C190A2}"/>
            </c:ext>
          </c:extLst>
        </c:ser>
        <c:dLbls>
          <c:showLegendKey val="0"/>
          <c:showVal val="0"/>
          <c:showCatName val="0"/>
          <c:showSerName val="0"/>
          <c:showPercent val="0"/>
          <c:showBubbleSize val="0"/>
        </c:dLbls>
        <c:gapWidth val="150"/>
        <c:axId val="56634368"/>
        <c:axId val="56685312"/>
      </c:barChart>
      <c:catAx>
        <c:axId val="56634368"/>
        <c:scaling>
          <c:orientation val="minMax"/>
        </c:scaling>
        <c:delete val="0"/>
        <c:axPos val="b"/>
        <c:numFmt formatCode="General" sourceLinked="1"/>
        <c:majorTickMark val="out"/>
        <c:minorTickMark val="none"/>
        <c:tickLblPos val="nextTo"/>
        <c:spPr>
          <a:ln w="3175">
            <a:solidFill>
              <a:schemeClr val="bg1">
                <a:lumMod val="50000"/>
              </a:schemeClr>
            </a:solidFill>
            <a:prstDash val="dash"/>
          </a:ln>
        </c:spPr>
        <c:txPr>
          <a:bodyPr/>
          <a:lstStyle/>
          <a:p>
            <a:pPr>
              <a:defRPr sz="900">
                <a:latin typeface="Times New Roman" panose="02020603050405020304" pitchFamily="18" charset="0"/>
                <a:cs typeface="Times New Roman" panose="02020603050405020304" pitchFamily="18" charset="0"/>
              </a:defRPr>
            </a:pPr>
            <a:endParaRPr lang="sr-Latn-RS"/>
          </a:p>
        </c:txPr>
        <c:crossAx val="56685312"/>
        <c:crosses val="autoZero"/>
        <c:auto val="1"/>
        <c:lblAlgn val="ctr"/>
        <c:lblOffset val="100"/>
        <c:noMultiLvlLbl val="0"/>
      </c:catAx>
      <c:valAx>
        <c:axId val="56685312"/>
        <c:scaling>
          <c:orientation val="minMax"/>
        </c:scaling>
        <c:delete val="0"/>
        <c:axPos val="l"/>
        <c:majorGridlines>
          <c:spPr>
            <a:ln w="3175">
              <a:solidFill>
                <a:schemeClr val="bg1">
                  <a:lumMod val="50000"/>
                </a:schemeClr>
              </a:solidFill>
              <a:prstDash val="dash"/>
            </a:ln>
          </c:spPr>
        </c:majorGridlines>
        <c:numFmt formatCode="#,##0" sourceLinked="0"/>
        <c:majorTickMark val="out"/>
        <c:minorTickMark val="none"/>
        <c:tickLblPos val="nextTo"/>
        <c:spPr>
          <a:ln w="3175">
            <a:solidFill>
              <a:schemeClr val="bg1">
                <a:lumMod val="50000"/>
              </a:schemeClr>
            </a:solidFill>
            <a:prstDash val="dash"/>
          </a:ln>
        </c:spPr>
        <c:txPr>
          <a:bodyPr/>
          <a:lstStyle/>
          <a:p>
            <a:pPr>
              <a:defRPr sz="900">
                <a:latin typeface="Times New Roman" panose="02020603050405020304" pitchFamily="18" charset="0"/>
                <a:cs typeface="Times New Roman" panose="02020603050405020304" pitchFamily="18" charset="0"/>
              </a:defRPr>
            </a:pPr>
            <a:endParaRPr lang="sr-Latn-RS"/>
          </a:p>
        </c:txPr>
        <c:crossAx val="56634368"/>
        <c:crosses val="autoZero"/>
        <c:crossBetween val="between"/>
      </c:valAx>
      <c:spPr>
        <a:ln w="3175">
          <a:solidFill>
            <a:schemeClr val="bg1">
              <a:lumMod val="50000"/>
            </a:schemeClr>
          </a:solidFill>
          <a:prstDash val="dash"/>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BCD9341-32D9-4B26-A9DA-A8C2D96C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5157</Characters>
  <Application>Microsoft Office Word</Application>
  <DocSecurity>0</DocSecurity>
  <Lines>74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6015</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 Fabris</cp:lastModifiedBy>
  <cp:revision>3</cp:revision>
  <cp:lastPrinted>2017-03-07T10:02:00Z</cp:lastPrinted>
  <dcterms:created xsi:type="dcterms:W3CDTF">2017-03-13T13:05:00Z</dcterms:created>
  <dcterms:modified xsi:type="dcterms:W3CDTF">2020-02-24T10:25:00Z</dcterms:modified>
</cp:coreProperties>
</file>